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line="240" w:lineRule="auto"/>
        <w:ind w:firstLine="567" w:left="0" w:right="0"/>
        <w:jc w:val="both"/>
        <w:rPr>
          <w:rFonts w:ascii="Times New Roman" w:hAnsi="Times New Roman"/>
          <w:b w:val="1"/>
          <w:color w:val="000000"/>
          <w:sz w:val="24"/>
        </w:rPr>
      </w:pPr>
      <w:r>
        <w:rPr>
          <w:rFonts w:ascii="Times New Roman" w:hAnsi="Times New Roman"/>
          <w:b w:val="1"/>
          <w:color w:val="000000"/>
          <w:sz w:val="24"/>
        </w:rPr>
        <w:t>Можно ли отождествлять понятие "Полюса роста мировой экономики" и "центры экономической силы"?</w:t>
      </w:r>
    </w:p>
    <w:p w14:paraId="02000000">
      <w:pPr>
        <w:spacing w:after="0" w:before="0" w:line="240" w:lineRule="auto"/>
        <w:ind w:firstLine="567" w:left="0" w:right="0"/>
        <w:jc w:val="both"/>
        <w:rPr>
          <w:rFonts w:ascii="Times New Roman" w:hAnsi="Times New Roman"/>
          <w:b w:val="1"/>
          <w:color w:val="000000"/>
          <w:sz w:val="24"/>
        </w:rPr>
      </w:pPr>
    </w:p>
    <w:p w14:paraId="03000000">
      <w:pPr>
        <w:spacing w:after="0" w:before="0" w:line="240" w:lineRule="auto"/>
        <w:ind w:firstLine="567" w:left="0" w:right="0"/>
        <w:jc w:val="both"/>
        <w:rPr>
          <w:rFonts w:ascii="Times New Roman" w:hAnsi="Times New Roman"/>
          <w:color w:val="000000"/>
          <w:sz w:val="24"/>
        </w:rPr>
      </w:pPr>
      <w:r>
        <w:rPr>
          <w:rFonts w:ascii="Times New Roman" w:hAnsi="Times New Roman"/>
          <w:color w:val="000000"/>
          <w:sz w:val="24"/>
        </w:rPr>
        <w:t>В современном мире все больше говорят о переносе центров экономической силы из развитых стран Запада в развивающиеся страны Востока. Однако можно ли отожествлять понятие "полюса роста мировой экономики" и центры "центры экономической силы"?</w:t>
      </w:r>
    </w:p>
    <w:p w14:paraId="04000000">
      <w:pPr>
        <w:spacing w:after="0" w:before="0" w:line="240" w:lineRule="auto"/>
        <w:ind w:firstLine="567" w:left="0" w:right="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Первоначально следует определить, что такое полюс роста мировой экономики. Это понятие обозначает регион, который помимо заметного экономического роста, также является лидером в секторе науки и технологий. Также этот регион характеризуется сильным влиянием на экономику мира за счет экспорта, инвестиций и других рыночных взаимодействий. </w:t>
      </w:r>
      <w:r>
        <w:rPr>
          <w:rFonts w:ascii="Times New Roman" w:hAnsi="Times New Roman"/>
          <w:color w:val="000000"/>
          <w:sz w:val="24"/>
        </w:rPr>
        <w:t xml:space="preserve">Центры экономической силы же - это регионы, которые являются лидерами экономического развития и занимают важное место в мировой экономике. Эти центры также влияют на процессы глобализации и формируют динамику на мировых рынках. </w:t>
      </w:r>
      <w:r>
        <w:rPr>
          <w:rFonts w:ascii="Times New Roman" w:hAnsi="Times New Roman"/>
          <w:color w:val="000000"/>
          <w:sz w:val="24"/>
        </w:rPr>
        <w:t xml:space="preserve">Между понятиями "полюс роста мировой экономики" и "центры экономической силы" есть некоторые сходства и различия. </w:t>
      </w:r>
    </w:p>
    <w:p w14:paraId="05000000">
      <w:pPr>
        <w:spacing w:after="0" w:before="0" w:line="240" w:lineRule="auto"/>
        <w:ind w:firstLine="567" w:left="0" w:right="0"/>
        <w:jc w:val="both"/>
        <w:rPr>
          <w:rFonts w:ascii="Times New Roman" w:hAnsi="Times New Roman"/>
          <w:color w:val="000000"/>
          <w:sz w:val="24"/>
        </w:rPr>
      </w:pPr>
      <w:r>
        <w:rPr>
          <w:rFonts w:ascii="Times New Roman" w:hAnsi="Times New Roman"/>
          <w:color w:val="000000"/>
          <w:sz w:val="24"/>
        </w:rPr>
        <w:t xml:space="preserve">Например, оба региона являются лидерами в экономическом развитии и оказывают влияние на мировую экономику. Однако полюс роста мировой экономики при этом характеризуется сильным влиянием на научно-технологический сектор, в то время как центры экономической силы не обязательно должны выполнять эту функцию. </w:t>
      </w:r>
      <w:r>
        <w:rPr>
          <w:rFonts w:ascii="Times New Roman" w:hAnsi="Times New Roman"/>
          <w:color w:val="000000"/>
          <w:sz w:val="24"/>
        </w:rPr>
        <w:t xml:space="preserve">Следовательно, не следует отожествлять понятие "полюс роста мировой экономики" и центры "центры экономической силы". Конечно, регионы, которые являются лидерами экономического развития, могут быть и тем и другим, но это не всегда так. </w:t>
      </w:r>
    </w:p>
    <w:p w14:paraId="06000000">
      <w:pPr>
        <w:spacing w:after="0" w:before="0" w:line="240" w:lineRule="auto"/>
        <w:ind w:firstLine="567" w:left="0" w:right="0"/>
        <w:jc w:val="both"/>
        <w:rPr>
          <w:rFonts w:ascii="Times New Roman" w:hAnsi="Times New Roman"/>
          <w:color w:val="000000"/>
          <w:sz w:val="24"/>
        </w:rPr>
      </w:pPr>
      <w:r>
        <w:rPr>
          <w:rFonts w:ascii="Times New Roman" w:hAnsi="Times New Roman"/>
          <w:color w:val="000000"/>
          <w:sz w:val="24"/>
        </w:rPr>
        <w:t xml:space="preserve">Например, Япония является крупным центром экономической силы, но не является полюсом роста мировой экономики, тогда как Китай, который является одним из полюсов роста мировой экономики, не является центром экономической силы. </w:t>
      </w:r>
      <w:r>
        <w:rPr>
          <w:rFonts w:ascii="Times New Roman" w:hAnsi="Times New Roman"/>
          <w:color w:val="000000"/>
          <w:sz w:val="24"/>
        </w:rPr>
        <w:t>В заключении, можно сказать, что понимание различий между понятиями "полюс роста мировой экономики" и "центры экономической силы" является важным для анализа развития мировой экономики. При этом важно учитывать, что не всегда регионы могут совмещать оба понятия, и они могут быть использованы для анализа различных аспектов экономического развития.</w:t>
      </w:r>
    </w:p>
    <w:p w14:paraId="07000000">
      <w:pPr>
        <w:spacing w:line="240" w:lineRule="auto"/>
        <w:ind w:firstLine="567"/>
        <w:jc w:val="both"/>
        <w:rPr>
          <w:rFonts w:ascii="Times New Roman" w:hAnsi="Times New Roman"/>
          <w:color w:val="000000"/>
          <w:sz w:val="24"/>
        </w:rPr>
      </w:pPr>
      <w:r>
        <w:rPr>
          <w:rFonts w:ascii="Times New Roman" w:hAnsi="Times New Roman"/>
          <w:color w:val="000000"/>
          <w:sz w:val="24"/>
        </w:rPr>
        <w:t xml:space="preserve">Для подтверждения данной точки зрения можно привести следующие факты и статистические данные: </w:t>
      </w:r>
      <w:r>
        <w:rPr>
          <w:rFonts w:ascii="Times New Roman" w:hAnsi="Times New Roman"/>
          <w:color w:val="000000"/>
          <w:sz w:val="24"/>
        </w:rPr>
        <w:t xml:space="preserve">Согласно отчету Почтового банка России, на сегодняшний день (2021 год) Китай стал одним из трех лидеров мировой экономики в расчете на долю ВВП. </w:t>
      </w:r>
      <w:r>
        <w:rPr>
          <w:rFonts w:ascii="Times New Roman" w:hAnsi="Times New Roman"/>
          <w:color w:val="000000"/>
          <w:sz w:val="24"/>
        </w:rPr>
        <w:t>В 2019 году доля Китая в мировой экономике составила 16%, против 12% в 2008 году. При этом, научно-технологический сектор в Китае активно развивается: страна входит в тройку лидеров мира по патентным заявкам в последние годы.</w:t>
      </w:r>
    </w:p>
    <w:p w14:paraId="08000000">
      <w:pPr>
        <w:spacing w:line="240" w:lineRule="auto"/>
        <w:ind w:firstLine="567"/>
        <w:jc w:val="both"/>
        <w:rPr>
          <w:rFonts w:ascii="Times New Roman" w:hAnsi="Times New Roman"/>
          <w:color w:val="000000"/>
          <w:sz w:val="24"/>
        </w:rPr>
      </w:pPr>
      <w:r>
        <w:rPr>
          <w:rFonts w:ascii="Times New Roman" w:hAnsi="Times New Roman"/>
          <w:color w:val="000000"/>
          <w:sz w:val="24"/>
        </w:rPr>
        <w:t>Согласно отчету Всемирного банка за 2020 год, Индия является одним из полюсов роста мировой экономики. Согласно отчету, рост ВВП Индии в 2021 году должен составить 10,1%, что является самым высоким показателем в мире.</w:t>
      </w:r>
      <w:r>
        <w:rPr>
          <w:rFonts w:ascii="Times New Roman" w:hAnsi="Times New Roman"/>
          <w:color w:val="000000"/>
          <w:sz w:val="24"/>
        </w:rPr>
        <w:t xml:space="preserve">Однако, по данным Всемирного банка за 2020 год, США остается крупнейшим центром экономической силы в мире. </w:t>
      </w:r>
    </w:p>
    <w:p w14:paraId="09000000">
      <w:pPr>
        <w:spacing w:line="240" w:lineRule="auto"/>
        <w:ind w:firstLine="567"/>
        <w:jc w:val="both"/>
        <w:rPr>
          <w:rFonts w:ascii="Times New Roman" w:hAnsi="Times New Roman"/>
          <w:color w:val="000000"/>
          <w:sz w:val="24"/>
        </w:rPr>
      </w:pPr>
      <w:r>
        <w:rPr>
          <w:rFonts w:ascii="Times New Roman" w:hAnsi="Times New Roman"/>
          <w:color w:val="000000"/>
          <w:sz w:val="24"/>
        </w:rPr>
        <w:t>В 2019 году доля США в мировой экономике составила 24,3%, что является самым высоким показателем среди всех стран.</w:t>
      </w:r>
      <w:r>
        <w:rPr>
          <w:rFonts w:ascii="Times New Roman" w:hAnsi="Times New Roman"/>
          <w:color w:val="000000"/>
          <w:sz w:val="24"/>
        </w:rPr>
        <w:t xml:space="preserve">Согласно отчету McKinsey Global Institute, в 2019 году регион Азии-Тихоокеанский регион превзошел Северную Америку и Европу по совокупному вкладу в мировую экономику за последние пять лет. </w:t>
      </w:r>
    </w:p>
    <w:p w14:paraId="0A000000">
      <w:pPr>
        <w:spacing w:line="240" w:lineRule="auto"/>
        <w:ind w:firstLine="567"/>
        <w:jc w:val="both"/>
        <w:rPr>
          <w:rFonts w:ascii="Times New Roman" w:hAnsi="Times New Roman"/>
          <w:color w:val="000000"/>
          <w:sz w:val="24"/>
        </w:rPr>
      </w:pPr>
      <w:r>
        <w:rPr>
          <w:rFonts w:ascii="Times New Roman" w:hAnsi="Times New Roman"/>
          <w:color w:val="000000"/>
          <w:sz w:val="24"/>
        </w:rPr>
        <w:t>При этом Китай, Индия, Индонезия и Япония стали самыми быстро растущими экономками в регионе.</w:t>
      </w:r>
      <w:r>
        <w:rPr>
          <w:rFonts w:ascii="Times New Roman" w:hAnsi="Times New Roman"/>
          <w:color w:val="000000"/>
          <w:sz w:val="24"/>
        </w:rPr>
        <w:t>Таким образом, статистические данные подтверждают, что полюсами роста мировой экономики становятся все больше развивающиеся страны, в частности страны Азии-Тихоокеанского региона. Однако при этом центрами экономической силы остаются развитые страны, такие как США, Европа и Япония.</w:t>
      </w:r>
    </w:p>
    <w:p w14:paraId="0B000000">
      <w:pPr>
        <w:spacing w:line="240" w:lineRule="auto"/>
        <w:ind w:firstLine="567"/>
        <w:jc w:val="both"/>
        <w:rPr>
          <w:rFonts w:ascii="Times New Roman" w:hAnsi="Times New Roman"/>
          <w:color w:val="000000"/>
          <w:sz w:val="24"/>
        </w:rPr>
      </w:pPr>
    </w:p>
    <w:p w14:paraId="0C000000">
      <w:pPr>
        <w:spacing w:line="240" w:lineRule="auto"/>
        <w:ind w:firstLine="567"/>
        <w:jc w:val="both"/>
        <w:rPr>
          <w:rFonts w:ascii="Times New Roman" w:hAnsi="Times New Roman"/>
          <w:color w:val="000000"/>
          <w:sz w:val="24"/>
          <w:u w:val="single"/>
        </w:rPr>
      </w:pPr>
      <w:r>
        <w:rPr>
          <w:rFonts w:ascii="Times New Roman" w:hAnsi="Times New Roman"/>
          <w:b w:val="0"/>
          <w:i w:val="0"/>
          <w:caps w:val="0"/>
          <w:color w:val="000000"/>
          <w:spacing w:val="0"/>
          <w:sz w:val="24"/>
          <w:u w:val="single"/>
        </w:rPr>
        <w:t xml:space="preserve">"Выигравшие или проигравшие... Чего общего имеют страны проигравшие в XX веке. Фактически все они отрицали международные экономические связи, либо явно(как прежний Советский Союз и нынешняя Бирма), либо неявно, (большая часть Африки). </w:t>
      </w:r>
    </w:p>
    <w:p w14:paraId="0D000000">
      <w:pPr>
        <w:spacing w:line="240" w:lineRule="auto"/>
        <w:ind w:firstLine="567"/>
        <w:jc w:val="both"/>
        <w:rPr>
          <w:rFonts w:ascii="Times New Roman" w:hAnsi="Times New Roman"/>
          <w:b w:val="0"/>
          <w:i w:val="0"/>
          <w:caps w:val="0"/>
          <w:color w:val="000000"/>
          <w:spacing w:val="0"/>
          <w:sz w:val="24"/>
          <w:u w:val="single"/>
        </w:rPr>
      </w:pPr>
      <w:r>
        <w:rPr>
          <w:rFonts w:ascii="Times New Roman" w:hAnsi="Times New Roman"/>
          <w:b w:val="0"/>
          <w:i w:val="0"/>
          <w:caps w:val="0"/>
          <w:color w:val="000000"/>
          <w:spacing w:val="0"/>
          <w:sz w:val="24"/>
          <w:u w:val="single"/>
        </w:rPr>
        <w:t>Что общего имеют страны, выигравшие в 20 веке? Они приняли мировое хозяйство (Япония, Корея, Тайвань, Испания, Ирландия? Греция и др.). Что общего имеют страны, вступившие в состязание в 21 веке? Они присоединяются к мировому хозяйству, так быстро, как только могут (Чили, Аргентина, Мексика, Китай, Индия, Польша)."</w:t>
      </w:r>
    </w:p>
    <w:p w14:paraId="0E000000">
      <w:pPr>
        <w:spacing w:after="150" w:before="0" w:line="240" w:lineRule="auto"/>
        <w:ind w:firstLine="567" w:left="0" w:right="0"/>
        <w:jc w:val="both"/>
        <w:rPr>
          <w:rFonts w:ascii="Times New Roman" w:hAnsi="Times New Roman"/>
          <w:b w:val="0"/>
          <w:i w:val="0"/>
          <w:caps w:val="0"/>
          <w:color w:val="000000"/>
          <w:spacing w:val="0"/>
          <w:sz w:val="24"/>
        </w:rPr>
      </w:pPr>
    </w:p>
    <w:p w14:paraId="0F000000">
      <w:pPr>
        <w:spacing w:after="150" w:before="0" w:line="240" w:lineRule="auto"/>
        <w:ind w:firstLine="567"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Эта точка зрения отражает только один из многих факторов, которые могут влиять на процветание или провал страны. Отрицание международных экономических связей может быть одним из факторов, ослабляющих экономическую позицию страны, но это не единственная причина для провала страны в 20 веке. Также следует учитывать такие факторы, как геополитические условия, исторические факторы, внутренние политические и экономические реформы, уровень образования и т. д.</w:t>
      </w:r>
      <w:r>
        <w:rPr>
          <w:rFonts w:ascii="Times New Roman" w:hAnsi="Times New Roman"/>
          <w:b w:val="0"/>
          <w:i w:val="0"/>
          <w:caps w:val="0"/>
          <w:color w:val="000000"/>
          <w:spacing w:val="0"/>
          <w:sz w:val="24"/>
        </w:rPr>
        <w:t>Кроме того, примеры стран, выигравших и проигравших в 20 веке, ограничены и не могут полностью отразить множество факторов, которые могут влиять на развитие страны. Например, Россия, которая проиграла в первой мировой войне и потеряла значительную территорию, вскоре стала одной из ведущих сверхдержав в мире.</w:t>
      </w:r>
    </w:p>
    <w:p w14:paraId="10000000">
      <w:pPr>
        <w:spacing w:after="150" w:before="150" w:line="240" w:lineRule="auto"/>
        <w:ind w:firstLine="567"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21 веке, присоединение к мировому хозяйству может представлять собой важный фактор для развития страны, но важно понимать, что это необходимый, но не достаточный условие для успеха. В какой-то степени, присоединение к мировому хозяйству может усилить конкуренцию и вызвать дополнительные трудности для многих стран, которые не имеют достаточного уровня развития, чтобы успешно конкурировать на мировой арене.</w:t>
      </w:r>
      <w:r>
        <w:rPr>
          <w:rFonts w:ascii="Times New Roman" w:hAnsi="Times New Roman"/>
          <w:b w:val="0"/>
          <w:i w:val="0"/>
          <w:caps w:val="0"/>
          <w:color w:val="000000"/>
          <w:spacing w:val="0"/>
          <w:sz w:val="24"/>
        </w:rPr>
        <w:t>Таким образом, не следует однозначно утверждать, что принятие мирового хозяйства является ключевым фактором успеха. Каждая страна имеет свои собственные условия и факторы, которые формируют ее позицию в мировой экономике и обществе в целом.</w:t>
      </w:r>
    </w:p>
    <w:p w14:paraId="11000000">
      <w:pPr>
        <w:spacing w:after="0" w:before="150" w:line="240" w:lineRule="auto"/>
        <w:ind w:firstLine="567"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Проблема, которая рассматривается в данном высказывании, заключается в том, что страны, которые отрицали международные экономические связи в XX веке, сталкивались с проигрышем в конкуренции на мировом рынке. В то же время, страны, принявшие мировое хозяйство, имели больше шансов на успех. Вопрос заключается в том,</w:t>
      </w:r>
      <w:r>
        <w:rPr>
          <w:rFonts w:ascii="Times New Roman" w:hAnsi="Times New Roman"/>
          <w:b w:val="0"/>
          <w:i w:val="0"/>
          <w:caps w:val="0"/>
          <w:color w:val="000000"/>
          <w:spacing w:val="0"/>
          <w:sz w:val="24"/>
        </w:rPr>
        <w:t xml:space="preserve"> каким образом странам необходимо адаптироваться к мировым экономическим изменениям, чтобы не оказаться на стороне проигравших.</w:t>
      </w:r>
    </w:p>
    <w:p w14:paraId="12000000">
      <w:pPr>
        <w:spacing w:after="0" w:before="150" w:line="240" w:lineRule="auto"/>
        <w:ind w:firstLine="567"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2). </w:t>
      </w:r>
      <w:r>
        <w:rPr>
          <w:rFonts w:ascii="Times New Roman" w:hAnsi="Times New Roman"/>
          <w:b w:val="0"/>
          <w:i w:val="0"/>
          <w:caps w:val="0"/>
          <w:color w:val="000000"/>
          <w:spacing w:val="0"/>
          <w:sz w:val="24"/>
        </w:rPr>
        <w:t xml:space="preserve">Автор высказывания считает, что страны, отрицающие международные экономические связи, проигрывают в XX веке, в то время как страны, принимающие мировое хозяйство, выигрывают. Он указывает на примеры стран, находившихся в этих разных ситуациях. </w:t>
      </w:r>
      <w:r>
        <w:rPr>
          <w:rFonts w:ascii="Times New Roman" w:hAnsi="Times New Roman"/>
          <w:b w:val="0"/>
          <w:i w:val="0"/>
          <w:caps w:val="0"/>
          <w:color w:val="000000"/>
          <w:spacing w:val="0"/>
          <w:sz w:val="24"/>
        </w:rPr>
        <w:t>Можно согласиться с тем, что международные экономические связи важны для экономического развития стран и их успехов в этой области. Страны, отрицающие такие связи, могут столкнуться с проблемами, связанными с ограничением доступа к мировым ресурсам и возможностям. С другой стороны, страны, принимающие мировое хозяйство, могут получать больший доступ к ресурсам и рынкам, что в конечном итоге может способствовать их развитию.</w:t>
      </w:r>
    </w:p>
    <w:p w14:paraId="13000000">
      <w:pPr>
        <w:spacing w:after="0" w:before="150" w:line="240" w:lineRule="auto"/>
        <w:ind w:firstLine="567"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Тем не менее, не следует забывать о том, что экономические связи могут иметь и негативные последствия, в том числе для национальных интересов и суверенитета. Также следует отметить, что успехи и неудачи стран в XX веке не ограничиваются только отношением к международным экономическим связям, а зависят от множества других факторов. </w:t>
      </w:r>
      <w:r>
        <w:rPr>
          <w:rFonts w:ascii="Times New Roman" w:hAnsi="Times New Roman"/>
          <w:b w:val="0"/>
          <w:i w:val="0"/>
          <w:caps w:val="0"/>
          <w:color w:val="000000"/>
          <w:spacing w:val="0"/>
          <w:sz w:val="24"/>
        </w:rPr>
        <w:t>В целом, можно считать автора высказывания частично правым в своих рассуждениях, однако стоит учитывать, что успехи и неудачи стран зависят от многих других факторов, кроме отношений с мировым хозяйством.</w:t>
      </w:r>
    </w:p>
    <w:p w14:paraId="14000000">
      <w:pPr>
        <w:spacing w:after="0" w:before="150" w:line="240" w:lineRule="auto"/>
        <w:ind w:firstLine="567" w:left="0" w:right="0"/>
        <w:jc w:val="both"/>
        <w:rPr>
          <w:rFonts w:ascii="Times New Roman" w:hAnsi="Times New Roman"/>
          <w:b w:val="0"/>
          <w:i w:val="0"/>
          <w:caps w:val="0"/>
          <w:color w:val="000000"/>
          <w:spacing w:val="0"/>
          <w:sz w:val="24"/>
        </w:rPr>
      </w:pPr>
    </w:p>
    <w:p w14:paraId="15000000">
      <w:pPr>
        <w:spacing w:after="0" w:before="150" w:line="240" w:lineRule="auto"/>
        <w:ind w:firstLine="567" w:left="0" w:right="0"/>
        <w:jc w:val="both"/>
        <w:rPr>
          <w:rFonts w:ascii="Times New Roman" w:hAnsi="Times New Roman"/>
          <w:b w:val="0"/>
          <w:i w:val="0"/>
          <w:caps w:val="0"/>
          <w:color w:val="000000"/>
          <w:spacing w:val="0"/>
          <w:sz w:val="24"/>
        </w:rPr>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2023-03-30T14:06:43Z</dcterms:modified>
</cp:coreProperties>
</file>