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1E" w:rsidRPr="00BA5303" w:rsidRDefault="00E943DF" w:rsidP="00E943D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МОДЕЛЕЙ,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C3A6B" w:rsidRPr="00BA5303" w:rsidRDefault="00E943DF" w:rsidP="00E943D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ОБЩАЯ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D6008" w:rsidRPr="00BA5303" w:rsidRDefault="005D6008" w:rsidP="005D60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2.1.1.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C1D9C" w:rsidRPr="00BA5303" w:rsidRDefault="004C1D9C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1903 год" w:history="1">
        <w:r w:rsidRP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1903</w:t>
        </w:r>
        <w:r w:rsid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году</w:t>
        </w:r>
      </w:hyperlink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ooltip="Форд, Генри" w:history="1">
        <w:r w:rsidRP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Генри</w:t>
        </w:r>
        <w:r w:rsid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Фордом</w:t>
        </w:r>
      </w:hyperlink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$28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инвесторов.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Ford</w:t>
      </w:r>
      <w:proofErr w:type="spellEnd"/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применившая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классический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автосборочный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ooltip="Конвейер" w:history="1">
        <w:r w:rsidRPr="00BA5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конвейер</w:t>
        </w:r>
      </w:hyperlink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запущенный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августа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1913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671A5D" w:rsidRDefault="00BA5303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«Форд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Мотор»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всемирно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лидер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автомобилей,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автомобильной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отраслях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</w:t>
      </w:r>
      <w:proofErr w:type="gramEnd"/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осмонавтике,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янно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процветать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прибыль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акционерам,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A54"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бизнесу.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миссии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важен,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миссия.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Фундамент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успеха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базисные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ценности: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Люди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силы.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корпоративный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репутацию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жизнеспособность.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коллективная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стержневые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ценности.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Продукция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усилий</w:t>
      </w:r>
      <w:proofErr w:type="gramEnd"/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обслуживании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миру.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Прибыль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Прибыль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окончательный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насколько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фективно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наилучшими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продуктами,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творяющими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нужды.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Прибыль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выживания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роста.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Качество</w:t>
      </w:r>
      <w:proofErr w:type="gramEnd"/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прежде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всего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оритетах.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Потребители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делаем.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бота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потребителей.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дукты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конкуренты.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Непрерывное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совершенствование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успеха.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стремиться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превосходству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делаем: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продуктах,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надежности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услугах,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шениях,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конкурентоспособности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прибыльности.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Увлеченность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работой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манда.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относиться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доверием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уважением.</w:t>
      </w:r>
    </w:p>
    <w:p w:rsid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Дилеры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поставщики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партнеры.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живать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взаимовыгодные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дилерами,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поставщиками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бизнесу.</w:t>
      </w:r>
    </w:p>
    <w:p w:rsidR="00D53A54" w:rsidRPr="00671A5D" w:rsidRDefault="00D53A54" w:rsidP="005D6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Честность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никогда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не</w:t>
      </w:r>
      <w:r w:rsid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подводит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вызывать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вкладу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общества.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двери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мужчин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дискриминации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этническому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происхождению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вероисповеданию.</w:t>
      </w:r>
    </w:p>
    <w:p w:rsidR="00094452" w:rsidRPr="00BA5303" w:rsidRDefault="00EF5ADF" w:rsidP="00EF5A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2.1.2.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</w:t>
      </w:r>
      <w:r w:rsidR="007712C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2328" w:rsidRPr="00BA5303" w:rsidRDefault="00B37802" w:rsidP="000944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рисунке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(см.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№1»)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организационно-производственная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линейно-функциональной,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линейные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CA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акцент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84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CE0048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54F" w:rsidRPr="00BA5303" w:rsidRDefault="00EF354F" w:rsidP="00EF35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2.1.3.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0E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70EB"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="00940D79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42D" w:rsidRPr="00BA5303" w:rsidRDefault="008470EB" w:rsidP="00EF35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видом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легковые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выпускает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грузовые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сервисные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клиентов.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proofErr w:type="gram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гистограмме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2D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2004-2018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говорит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росте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продаваемых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5E3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машин</w:t>
      </w:r>
      <w:r w:rsidR="00BB0275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942" w:rsidRPr="00BA5303" w:rsidRDefault="00CF342D" w:rsidP="00EF35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62650" cy="3524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942" w:rsidRPr="00BA5303" w:rsidRDefault="001E7942" w:rsidP="001E7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2.1.4.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9F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9F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9F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9F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9F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D79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0D79"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="00940D79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A6A59" w:rsidRPr="00BA5303" w:rsidRDefault="006A6A59" w:rsidP="006A6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Родоначальник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американского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машиностроения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разработал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теорию,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которой</w:t>
      </w:r>
      <w:r w:rsid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таковы:</w:t>
      </w:r>
    </w:p>
    <w:p w:rsidR="006A6A59" w:rsidRPr="00BA5303" w:rsidRDefault="006A6A59" w:rsidP="006A6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заработная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четкий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неделю;</w:t>
      </w:r>
    </w:p>
    <w:p w:rsidR="006A6A59" w:rsidRPr="00BA5303" w:rsidRDefault="006A6A59" w:rsidP="006A6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качественным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оборудованием,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потребителей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товаром,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приучение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самоуважению;</w:t>
      </w:r>
    </w:p>
    <w:p w:rsidR="006A6A59" w:rsidRPr="00BA5303" w:rsidRDefault="006A6A59" w:rsidP="006A6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получаемого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продукта;</w:t>
      </w:r>
    </w:p>
    <w:p w:rsidR="006A6A59" w:rsidRPr="00BA5303" w:rsidRDefault="006A6A59" w:rsidP="006A6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чистоты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гигиены,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назначении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Pr="00BA5303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B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Таким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образом,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суть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теорий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сводится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тому,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что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для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высокой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мотивации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работников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труду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необходимо: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четко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нормировать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организовывать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труд;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переходить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сдельным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формам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оплаты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труда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при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недопущении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снижения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сдельной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ставки;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lastRenderedPageBreak/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формировать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единые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для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всех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работников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условия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материальной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мотивации;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компенсация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«рутины»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повышенным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заработком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(Г.Форд).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Стоит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отметить,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что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в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традиционных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мотивационных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моделях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имеются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проблемы: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основной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упор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сделан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на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материальное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стимулирование;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факторы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внутренней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мотивации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не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принимаются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в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расчет;</w:t>
      </w:r>
    </w:p>
    <w:p w:rsidR="006A6A59" w:rsidRPr="00BA5303" w:rsidRDefault="006A6A59" w:rsidP="006A6A59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-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постулируется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единый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подход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мотивации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любых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работников.</w:t>
      </w:r>
    </w:p>
    <w:p w:rsidR="0049159F" w:rsidRPr="00BA5303" w:rsidRDefault="006A6A59" w:rsidP="006A6A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модели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причинам).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эффективным.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«кнута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пряника»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эффективен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младшего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обслуживающего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персонала,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напрямую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кризисный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сотрудников,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интеллектуальную,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работу,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демотиватором</w:t>
      </w:r>
      <w:proofErr w:type="spellEnd"/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мотивирования.</w:t>
      </w:r>
    </w:p>
    <w:p w:rsidR="006A6A59" w:rsidRPr="00BA5303" w:rsidRDefault="00940D79" w:rsidP="00940D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2.1.5.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40D79" w:rsidRPr="00BA5303" w:rsidRDefault="00631B78" w:rsidP="00940D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Фондовооруженность</w:t>
      </w:r>
      <w:proofErr w:type="spell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вычисляется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формуле:</w:t>
      </w:r>
    </w:p>
    <w:p w:rsidR="00631B78" w:rsidRPr="00BA5303" w:rsidRDefault="00631B78" w:rsidP="003354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чр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160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171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000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935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672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дол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США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чел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3F10C7" w:rsidRPr="00BA5303" w:rsidRDefault="003F10C7" w:rsidP="00BF1DDA">
      <w:pPr>
        <w:pStyle w:val="ad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Для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того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чтобы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её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найти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необходимо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знать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среднегодовую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стоимость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основных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средств:</w:t>
      </w:r>
    </w:p>
    <w:p w:rsidR="00BF1DDA" w:rsidRPr="00BA5303" w:rsidRDefault="00803C0B" w:rsidP="00BF1DDA">
      <w:pPr>
        <w:pStyle w:val="ad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СС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оф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=160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000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000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000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долларов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США</m:t>
        </m:r>
      </m:oMath>
      <w:r w:rsidRPr="00BA5303">
        <w:rPr>
          <w:color w:val="000000" w:themeColor="text1"/>
          <w:sz w:val="28"/>
          <w:szCs w:val="28"/>
        </w:rPr>
        <w:t>,</w:t>
      </w:r>
    </w:p>
    <w:p w:rsidR="00BF1DDA" w:rsidRPr="00BA5303" w:rsidRDefault="00BF1DDA" w:rsidP="00BF1DDA">
      <w:pPr>
        <w:pStyle w:val="ad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Также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необходимо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знать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среднюю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численность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работников</w:t>
      </w:r>
    </w:p>
    <w:p w:rsidR="00803C0B" w:rsidRPr="00BA5303" w:rsidRDefault="00803C0B" w:rsidP="00BF1DDA">
      <w:pPr>
        <w:pStyle w:val="ad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СС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чр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=171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000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человек</m:t>
        </m:r>
      </m:oMath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,</w:t>
      </w:r>
    </w:p>
    <w:p w:rsidR="00803C0B" w:rsidRPr="00BA5303" w:rsidRDefault="006F77FC" w:rsidP="00803C0B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5303">
        <w:rPr>
          <w:color w:val="000000" w:themeColor="text1"/>
          <w:sz w:val="28"/>
          <w:szCs w:val="28"/>
        </w:rPr>
        <w:t>Фондоотдача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компании</w:t>
      </w:r>
      <w:r w:rsidR="00BA5303">
        <w:rPr>
          <w:color w:val="000000" w:themeColor="text1"/>
          <w:sz w:val="28"/>
          <w:szCs w:val="28"/>
        </w:rPr>
        <w:t xml:space="preserve"> </w:t>
      </w:r>
      <w:r w:rsidRPr="00BA5303">
        <w:rPr>
          <w:color w:val="000000" w:themeColor="text1"/>
          <w:sz w:val="28"/>
          <w:szCs w:val="28"/>
        </w:rPr>
        <w:t>«</w:t>
      </w:r>
      <w:r w:rsidRPr="00BA5303">
        <w:rPr>
          <w:color w:val="000000" w:themeColor="text1"/>
          <w:sz w:val="28"/>
          <w:szCs w:val="28"/>
          <w:lang w:val="en-US"/>
        </w:rPr>
        <w:t>FORD</w:t>
      </w:r>
      <w:r w:rsidRPr="00BA5303">
        <w:rPr>
          <w:color w:val="000000" w:themeColor="text1"/>
          <w:sz w:val="28"/>
          <w:szCs w:val="28"/>
        </w:rPr>
        <w:t>»:</w:t>
      </w:r>
    </w:p>
    <w:p w:rsidR="00803C0B" w:rsidRPr="00BA5303" w:rsidRDefault="00803C0B" w:rsidP="00803C0B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ВП</m:t>
              </m:r>
            </m:num>
            <m:den>
              <m:sSub>
                <m:sSubPr>
                  <m:ctrl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446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410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автомобилей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160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=0,000034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автомобиля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дол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США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.</m:t>
          </m:r>
        </m:oMath>
      </m:oMathPara>
    </w:p>
    <w:p w:rsidR="00803C0B" w:rsidRPr="00BA5303" w:rsidRDefault="00803C0B" w:rsidP="00803C0B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A5303">
        <w:rPr>
          <w:color w:val="000000" w:themeColor="text1"/>
          <w:sz w:val="28"/>
          <w:szCs w:val="28"/>
        </w:rPr>
        <w:t>Фондоемкость</w:t>
      </w:r>
      <w:proofErr w:type="spellEnd"/>
      <w:r w:rsidR="00BA5303">
        <w:rPr>
          <w:color w:val="000000" w:themeColor="text1"/>
          <w:sz w:val="28"/>
          <w:szCs w:val="28"/>
        </w:rPr>
        <w:t xml:space="preserve"> </w:t>
      </w:r>
      <w:r w:rsidR="006F77FC" w:rsidRPr="00BA5303">
        <w:rPr>
          <w:color w:val="000000" w:themeColor="text1"/>
          <w:sz w:val="28"/>
          <w:szCs w:val="28"/>
        </w:rPr>
        <w:t>компании:</w:t>
      </w:r>
    </w:p>
    <w:p w:rsidR="00803C0B" w:rsidRPr="00BA5303" w:rsidRDefault="00803C0B" w:rsidP="00803C0B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е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оф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ВП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160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000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446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410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автомобилей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=29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377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дол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США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автомобиль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.</m:t>
          </m:r>
        </m:oMath>
      </m:oMathPara>
    </w:p>
    <w:p w:rsidR="005F505C" w:rsidRPr="00BA5303" w:rsidRDefault="005F505C" w:rsidP="004E5FFE">
      <w:pPr>
        <w:pStyle w:val="ad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803C0B" w:rsidRPr="00BA5303" w:rsidRDefault="00803C0B" w:rsidP="004E5FFE">
      <w:pPr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2.1.6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FF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ентабельность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FF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5FFE"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="004E5FF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3C0B" w:rsidRPr="00BA5303" w:rsidRDefault="00803C0B" w:rsidP="00803C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Приб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ыль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(убыток)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F1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Выручка</w:t>
      </w:r>
    </w:p>
    <w:p w:rsidR="00D139F1" w:rsidRPr="00BA5303" w:rsidRDefault="00D139F1" w:rsidP="00803C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757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156,776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478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CE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США.</w:t>
      </w:r>
    </w:p>
    <w:p w:rsidR="00C335DE" w:rsidRPr="00BA5303" w:rsidRDefault="00C335DE" w:rsidP="00C335D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3E2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3,695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160,338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634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1AB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688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США.</w:t>
      </w:r>
    </w:p>
    <w:p w:rsidR="00EC3A6B" w:rsidRPr="00BA5303" w:rsidRDefault="00E943DF" w:rsidP="00EF35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C3A6B" w:rsidRPr="00BA5303" w:rsidRDefault="00E943DF" w:rsidP="00E943DF">
      <w:pPr>
        <w:shd w:val="clear" w:color="auto" w:fill="FFFFFF"/>
        <w:spacing w:after="0" w:line="360" w:lineRule="auto"/>
        <w:ind w:firstLine="470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2.2.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СРЕДЫ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ФУНКЦИОНИРОВАНИЯ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ПРЕДПРИЯТИЯ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ТОЧКИ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ЗРЕНИЯ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СИСТЕМНОГО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ПОДХОДА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Описать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(выделить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выделить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шкале.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Выделите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заполнив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таблицу.</w:t>
      </w:r>
    </w:p>
    <w:tbl>
      <w:tblPr>
        <w:tblStyle w:val="af3"/>
        <w:tblW w:w="0" w:type="auto"/>
        <w:tblLook w:val="04A0"/>
      </w:tblPr>
      <w:tblGrid>
        <w:gridCol w:w="1903"/>
        <w:gridCol w:w="2011"/>
        <w:gridCol w:w="1850"/>
        <w:gridCol w:w="1912"/>
        <w:gridCol w:w="1895"/>
      </w:tblGrid>
      <w:tr w:rsidR="001A1E20" w:rsidRPr="00BA5303" w:rsidTr="00BA5303">
        <w:tc>
          <w:tcPr>
            <w:tcW w:w="2027" w:type="dxa"/>
          </w:tcPr>
          <w:p w:rsidR="001A1E20" w:rsidRPr="00BA5303" w:rsidRDefault="001A1E20" w:rsidP="00BA53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03">
              <w:rPr>
                <w:color w:val="000000" w:themeColor="text1"/>
                <w:sz w:val="28"/>
                <w:szCs w:val="28"/>
              </w:rPr>
              <w:t>Этап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жизненного</w:t>
            </w:r>
            <w:r w:rsidRPr="00BA5303">
              <w:rPr>
                <w:color w:val="000000" w:themeColor="text1"/>
                <w:sz w:val="28"/>
                <w:szCs w:val="28"/>
              </w:rPr>
              <w:br/>
              <w:t>цикла</w:t>
            </w: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A5303">
              <w:rPr>
                <w:color w:val="000000" w:themeColor="text1"/>
                <w:sz w:val="28"/>
                <w:szCs w:val="28"/>
              </w:rPr>
              <w:t>Продолжитель</w:t>
            </w:r>
            <w:proofErr w:type="spellEnd"/>
            <w:r w:rsidRPr="00BA5303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BA5303">
              <w:rPr>
                <w:color w:val="000000" w:themeColor="text1"/>
                <w:sz w:val="28"/>
                <w:szCs w:val="28"/>
              </w:rPr>
              <w:t>ность</w:t>
            </w:r>
            <w:proofErr w:type="spellEnd"/>
            <w:proofErr w:type="gramEnd"/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этапа</w:t>
            </w: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03">
              <w:rPr>
                <w:color w:val="000000" w:themeColor="text1"/>
                <w:sz w:val="28"/>
                <w:szCs w:val="28"/>
              </w:rPr>
              <w:t>Проблемы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этапа</w:t>
            </w: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03">
              <w:rPr>
                <w:color w:val="000000" w:themeColor="text1"/>
                <w:sz w:val="28"/>
                <w:szCs w:val="28"/>
              </w:rPr>
              <w:t>Действия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менеджеров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по</w:t>
            </w:r>
            <w:r w:rsidRPr="00BA5303">
              <w:rPr>
                <w:color w:val="000000" w:themeColor="text1"/>
                <w:sz w:val="28"/>
                <w:szCs w:val="28"/>
              </w:rPr>
              <w:br/>
              <w:t>решению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проблем</w:t>
            </w: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03">
              <w:rPr>
                <w:color w:val="000000" w:themeColor="text1"/>
                <w:sz w:val="28"/>
                <w:szCs w:val="28"/>
              </w:rPr>
              <w:t>Причины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перехода</w:t>
            </w:r>
            <w:r w:rsidRPr="00BA5303">
              <w:rPr>
                <w:color w:val="000000" w:themeColor="text1"/>
                <w:sz w:val="28"/>
                <w:szCs w:val="28"/>
              </w:rPr>
              <w:br/>
              <w:t>на</w:t>
            </w:r>
            <w:r w:rsidR="00BA53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color w:val="000000" w:themeColor="text1"/>
                <w:sz w:val="28"/>
                <w:szCs w:val="28"/>
              </w:rPr>
              <w:t>следующий</w:t>
            </w:r>
            <w:r w:rsidRPr="00BA5303">
              <w:rPr>
                <w:color w:val="000000" w:themeColor="text1"/>
                <w:sz w:val="28"/>
                <w:szCs w:val="28"/>
              </w:rPr>
              <w:br/>
              <w:t>этап</w:t>
            </w:r>
          </w:p>
        </w:tc>
      </w:tr>
      <w:tr w:rsidR="001A1E20" w:rsidRPr="00BA5303" w:rsidTr="00BA5303">
        <w:trPr>
          <w:trHeight w:val="184"/>
        </w:trPr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A1E20" w:rsidRPr="00BA5303" w:rsidTr="00BA5303"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A1E20" w:rsidRPr="00BA5303" w:rsidTr="00BA5303"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A1E20" w:rsidRPr="00BA5303" w:rsidTr="00BA5303"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A1E20" w:rsidRPr="00BA5303" w:rsidTr="00BA5303"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</w:tcPr>
          <w:p w:rsidR="001A1E20" w:rsidRPr="00BA5303" w:rsidRDefault="001A1E20" w:rsidP="00BA53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сейчас.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Охарактеризовать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статичное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динамичное.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Проиллюстрируйте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примерах</w:t>
      </w:r>
      <w:proofErr w:type="gram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структуризации,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процессуализации</w:t>
      </w:r>
      <w:proofErr w:type="spell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рационализации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1A1E20" w:rsidRPr="00BA5303" w:rsidRDefault="001A1E20" w:rsidP="001A1E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gramEnd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косвенного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(количественный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качественный).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форму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EFAS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-резюме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10).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внешней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направлениям: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оценит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proofErr w:type="gram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ставка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процента,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курсы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обмена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валют,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темпы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роста,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инфляции,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спроса,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денежно-кредитная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рынке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ценных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бумаг,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отрасли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темпы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роста,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динамика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ВНП,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налогов.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BA5303" w:rsidP="001A1E2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A1E20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20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20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E20"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оказать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законодательстве,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расстановка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сил,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деловыми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кругами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патентное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охране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правительственные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расходы,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денежно-кредитная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выборы,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бюджетов,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государствами.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группы,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сталкивается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рождаемость,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смертность,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иммиграции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эмиграции,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доход,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покупательские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привычки,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труду,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отдыху,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качеству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услуг,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экономия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энергии,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правительству,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межэтнических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благосостояние.</w:t>
      </w:r>
      <w:proofErr w:type="gramEnd"/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НТП,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макросреды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факторы,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(обязательно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построить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матрицу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"Деловой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экран",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корреляционную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матрицу)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сильных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слабых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открывающихся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внешнем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окружении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прочности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позиций.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проявить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сильных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слабых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вопросы,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раскрыть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зонам.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именно:</w:t>
      </w:r>
    </w:p>
    <w:p w:rsidR="001A1E20" w:rsidRPr="00BA5303" w:rsidRDefault="001A1E20" w:rsidP="001A1E2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Четко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практика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снижения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издержек?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Кадры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высшее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высшего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руководства?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высшие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позициях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собираются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оставаться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справляться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относящимися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календарному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графику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снижению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издержек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качества?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текущим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будущим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задачам?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Каково</w:t>
      </w:r>
      <w:proofErr w:type="gramEnd"/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общем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мотивы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профиля?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мощности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сегодняшнего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дня,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самыми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морально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устарели?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мощности,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недозагрузка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базы?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отдача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разработок?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Приводят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НИР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созданию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продуктов?</w:t>
      </w:r>
    </w:p>
    <w:p w:rsidR="001A1E20" w:rsidRPr="00BA5303" w:rsidRDefault="001A1E20" w:rsidP="001A1E2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20" w:rsidRPr="00BA5303" w:rsidRDefault="001A1E20" w:rsidP="001A1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сильными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слабыми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продукта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организации: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дизайн,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качество,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доставка,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гарантии?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ценовая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ценовым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лидером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ценовым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последователем?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твердо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удерживает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рынка?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Имеются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рынок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новыми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продуктами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рынков?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запросы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покупателей?</w:t>
      </w:r>
    </w:p>
    <w:p w:rsidR="001A1E20" w:rsidRPr="00BA5303" w:rsidRDefault="001A1E20" w:rsidP="001A1E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Финансы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учет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Каковы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прибыли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подразделениями?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будущие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институты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должным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уважением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организации?</w:t>
      </w:r>
    </w:p>
    <w:p w:rsidR="001A1E20" w:rsidRPr="00BA5303" w:rsidRDefault="001A1E20" w:rsidP="001A1E20">
      <w:pPr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базирующуюся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глубоких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знаниях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налоговую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политику?</w:t>
      </w:r>
    </w:p>
    <w:p w:rsidR="005D6008" w:rsidRPr="00BA5303" w:rsidRDefault="005D6008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 w:type="page"/>
      </w:r>
    </w:p>
    <w:p w:rsidR="00EC3A6B" w:rsidRPr="00BA5303" w:rsidRDefault="00E943DF" w:rsidP="00E943DF">
      <w:pPr>
        <w:shd w:val="clear" w:color="auto" w:fill="FFFFFF"/>
        <w:spacing w:after="0" w:line="360" w:lineRule="auto"/>
        <w:ind w:firstLine="470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2.3.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ЭФФЕКТИВНОСТИ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СИСТЕМЫ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УПРАВЛЕНИЯ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521F0" w:rsidRPr="00BA5303" w:rsidRDefault="008521F0" w:rsidP="008521F0">
      <w:pPr>
        <w:shd w:val="clear" w:color="auto" w:fill="FFFFFF"/>
        <w:ind w:firstLine="47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2.3.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эффективности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системы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управления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компании.</w:t>
      </w:r>
    </w:p>
    <w:p w:rsidR="008521F0" w:rsidRPr="00BA5303" w:rsidRDefault="008521F0" w:rsidP="008521F0">
      <w:pPr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включать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оценку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выполненную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методик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(суммарно-индексная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балльная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оценка).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рассмотрим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сначала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приведенном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ниже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примере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базовые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значения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выполнения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всех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необходимых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расчетов.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  <w:r w:rsidRPr="00BA5303">
        <w:rPr>
          <w:color w:val="000000" w:themeColor="text1"/>
        </w:rPr>
        <w:t>Таблица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1.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Исходные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балльной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методики</w:t>
      </w: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</w:p>
    <w:tbl>
      <w:tblPr>
        <w:tblW w:w="856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0"/>
        <w:gridCol w:w="1720"/>
        <w:gridCol w:w="1760"/>
      </w:tblGrid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Базисное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Балансовая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прибыль,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ОПФ,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73522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77129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высшего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724000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оварной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99,773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рабочего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4,50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Текучесть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20,00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уволенных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дисциплины,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gramEnd"/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НТП,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Среднесписочная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Себестоимость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</w:tr>
      <w:tr w:rsidR="008521F0" w:rsidRPr="00BA5303" w:rsidTr="00BA5303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Суммарные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</w:tbl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Теперь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основе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исходных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таблицы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1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проведем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расчет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компанией.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Расчет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представлен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таблице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Мы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получили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комплексный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уровне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103,26,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что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свидетельствует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об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оценке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очень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хорошо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показывает,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что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все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находятся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требуемом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уровне.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получили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комплексную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оценку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предприятию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целом.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Теперь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исследуем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работы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управленческого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состава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более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подробно.</w:t>
      </w:r>
    </w:p>
    <w:p w:rsidR="008521F0" w:rsidRPr="00BA5303" w:rsidRDefault="008521F0" w:rsidP="008521F0">
      <w:pPr>
        <w:pStyle w:val="af9"/>
        <w:spacing w:line="240" w:lineRule="auto"/>
        <w:ind w:firstLine="0"/>
        <w:jc w:val="left"/>
        <w:rPr>
          <w:color w:val="000000" w:themeColor="text1"/>
        </w:rPr>
      </w:pPr>
      <w:r w:rsidRPr="00BA5303">
        <w:rPr>
          <w:color w:val="000000" w:themeColor="text1"/>
        </w:rPr>
        <w:t>Таблица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Расчет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комплексного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633"/>
        <w:gridCol w:w="922"/>
        <w:gridCol w:w="934"/>
        <w:gridCol w:w="1046"/>
        <w:gridCol w:w="1080"/>
        <w:gridCol w:w="1080"/>
        <w:gridCol w:w="900"/>
        <w:gridCol w:w="1080"/>
      </w:tblGrid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Базисное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стимулиро-вания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Скорректиро-ванный</w:t>
            </w:r>
            <w:proofErr w:type="spellEnd"/>
            <w:proofErr w:type="gramEnd"/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Весовой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Частный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Балансовая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прибыль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21,99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16,58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оварной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88,39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87,79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y=200-x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10,07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Производительность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уб./чел.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510,57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538,95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8,44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99,77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6,98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рабочего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y=200-x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3,30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1847,26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1993,98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2,16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Текучесть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666,67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y=200-x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-466,67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-9,33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Фондоотдача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ОПФ,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9,41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7,37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дисциплины,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2,70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производительности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платы,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7,00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НТП,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y=x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26,00</w:t>
            </w:r>
          </w:p>
        </w:tc>
      </w:tr>
      <w:tr w:rsidR="008521F0" w:rsidRPr="00BA5303" w:rsidTr="00BA5303">
        <w:tc>
          <w:tcPr>
            <w:tcW w:w="585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103,26</w:t>
            </w:r>
          </w:p>
        </w:tc>
      </w:tr>
    </w:tbl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применим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методику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суммарно-индексной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оценки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системы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управления.</w:t>
      </w:r>
      <w:r w:rsidRPr="00BA5303">
        <w:rPr>
          <w:rStyle w:val="af0"/>
          <w:color w:val="000000" w:themeColor="text1"/>
        </w:rPr>
        <w:footnoteReference w:id="2"/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Исходные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расчетов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представлены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таблице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ниже.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  <w:r w:rsidRPr="00BA5303">
        <w:rPr>
          <w:color w:val="000000" w:themeColor="text1"/>
        </w:rPr>
        <w:t>Таблица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3.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Исходные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данные</w:t>
      </w:r>
    </w:p>
    <w:tbl>
      <w:tblPr>
        <w:tblW w:w="9218" w:type="dxa"/>
        <w:jc w:val="center"/>
        <w:tblLayout w:type="fixed"/>
        <w:tblLook w:val="0000"/>
      </w:tblPr>
      <w:tblGrid>
        <w:gridCol w:w="966"/>
        <w:gridCol w:w="1192"/>
        <w:gridCol w:w="1069"/>
        <w:gridCol w:w="1116"/>
        <w:gridCol w:w="1134"/>
        <w:gridCol w:w="1459"/>
        <w:gridCol w:w="1065"/>
        <w:gridCol w:w="1217"/>
      </w:tblGrid>
      <w:tr w:rsidR="008521F0" w:rsidRPr="00BA5303" w:rsidTr="00BA5303">
        <w:trPr>
          <w:trHeight w:val="127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Среднесп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сочная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Численность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ения,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Расходы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Оплата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ия,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Общий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Себестоимость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продукции,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</w:tr>
    </w:tbl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Теперь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рассчитаем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управления.</w:t>
      </w: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  <w:r w:rsidRPr="00BA5303">
        <w:rPr>
          <w:color w:val="000000" w:themeColor="text1"/>
        </w:rPr>
        <w:t>Таблица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4.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</w:p>
    <w:tbl>
      <w:tblPr>
        <w:tblW w:w="9434" w:type="dxa"/>
        <w:jc w:val="center"/>
        <w:tblInd w:w="-36" w:type="dxa"/>
        <w:tblLook w:val="0000"/>
      </w:tblPr>
      <w:tblGrid>
        <w:gridCol w:w="1918"/>
        <w:gridCol w:w="1181"/>
        <w:gridCol w:w="1006"/>
        <w:gridCol w:w="1238"/>
        <w:gridCol w:w="696"/>
        <w:gridCol w:w="926"/>
        <w:gridCol w:w="755"/>
        <w:gridCol w:w="918"/>
        <w:gridCol w:w="969"/>
      </w:tblGrid>
      <w:tr w:rsidR="008521F0" w:rsidRPr="00BA5303" w:rsidTr="00BA5303">
        <w:trPr>
          <w:trHeight w:val="255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Сравниваемые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периоды</w:t>
            </w: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Удельный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BA5303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F0" w:rsidRPr="00BA5303" w:rsidTr="00BA5303">
        <w:trPr>
          <w:trHeight w:val="153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среднегодовых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общем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Уоу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Уув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Уов</w:t>
            </w:r>
            <w:proofErr w:type="spellEnd"/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60,61%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81,3%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7,90%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0,94</w:t>
            </w:r>
          </w:p>
        </w:tc>
      </w:tr>
      <w:tr w:rsidR="008521F0" w:rsidRPr="00BA5303" w:rsidTr="00BA5303">
        <w:trPr>
          <w:trHeight w:val="255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1,05</w:t>
            </w:r>
          </w:p>
        </w:tc>
      </w:tr>
    </w:tbl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Агрегированный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рассчитывается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формуле: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proofErr w:type="spellStart"/>
      <w:r w:rsidRPr="00BA5303">
        <w:rPr>
          <w:color w:val="000000" w:themeColor="text1"/>
        </w:rPr>
        <w:t>Уэк=</w:t>
      </w:r>
      <w:proofErr w:type="spell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(</w:t>
      </w:r>
      <w:proofErr w:type="spellStart"/>
      <w:r w:rsidRPr="00BA5303">
        <w:rPr>
          <w:color w:val="000000" w:themeColor="text1"/>
        </w:rPr>
        <w:t>Ур+Уоу+Уув+Уов</w:t>
      </w:r>
      <w:proofErr w:type="spellEnd"/>
      <w:r w:rsidRPr="00BA5303">
        <w:rPr>
          <w:color w:val="000000" w:themeColor="text1"/>
        </w:rPr>
        <w:t>)/4.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Соответственно,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наших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составляют: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proofErr w:type="gramStart"/>
      <w:r w:rsidRPr="00BA5303">
        <w:rPr>
          <w:color w:val="000000" w:themeColor="text1"/>
        </w:rPr>
        <w:t>У</w:t>
      </w:r>
      <w:proofErr w:type="gram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2007=(1,01+0,96+1,07+0,94)/4=0,991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proofErr w:type="spellStart"/>
      <w:r w:rsidRPr="00BA5303">
        <w:rPr>
          <w:color w:val="000000" w:themeColor="text1"/>
        </w:rPr>
        <w:lastRenderedPageBreak/>
        <w:t>Уэк</w:t>
      </w:r>
      <w:proofErr w:type="spell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2008=(0,98+0,97+1+1,05)/4=1,001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Такое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значение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индексов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говорит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стабильном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состоянии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компании.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году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понизилась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1%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отношению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2006г.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году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повысилась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1%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отношению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2007г.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Это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может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свидетельствовать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грамотной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постановке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бизнес-процессов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компании.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принципе,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закономерный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если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учесть,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что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фирма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оптовая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статьи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ее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расходов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четкие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стабильные.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Они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легко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поддаются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контролю,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т.к.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розничная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сеть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компании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–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консультанты,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которые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сами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планируют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свою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деятельность.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–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количество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проданного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товара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оптового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склада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«МК».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Теперь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рассчитаем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управления.</w:t>
      </w: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  <w:r w:rsidRPr="00BA5303">
        <w:rPr>
          <w:color w:val="000000" w:themeColor="text1"/>
        </w:rPr>
        <w:t>Таблица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5.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</w:p>
    <w:p w:rsidR="008521F0" w:rsidRPr="00BA5303" w:rsidRDefault="008521F0" w:rsidP="008521F0">
      <w:pPr>
        <w:pStyle w:val="af9"/>
        <w:spacing w:line="240" w:lineRule="auto"/>
        <w:jc w:val="left"/>
        <w:rPr>
          <w:color w:val="000000" w:themeColor="text1"/>
        </w:rPr>
      </w:pPr>
    </w:p>
    <w:tbl>
      <w:tblPr>
        <w:tblW w:w="9572" w:type="dxa"/>
        <w:tblInd w:w="-36" w:type="dxa"/>
        <w:tblLook w:val="0000"/>
      </w:tblPr>
      <w:tblGrid>
        <w:gridCol w:w="1814"/>
        <w:gridCol w:w="1105"/>
        <w:gridCol w:w="932"/>
        <w:gridCol w:w="1045"/>
        <w:gridCol w:w="902"/>
        <w:gridCol w:w="917"/>
        <w:gridCol w:w="1167"/>
        <w:gridCol w:w="1725"/>
      </w:tblGrid>
      <w:tr w:rsidR="008521F0" w:rsidRPr="00BA5303" w:rsidTr="00BA530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Сравниваемые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периоды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Приходится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выручки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окупаемости</w:t>
            </w:r>
          </w:p>
        </w:tc>
      </w:tr>
      <w:tr w:rsidR="008521F0" w:rsidRPr="00BA5303" w:rsidTr="00BA530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аработной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платы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21F0" w:rsidRPr="00BA5303" w:rsidTr="00BA530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Увз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0" w:rsidRPr="00BA5303" w:rsidRDefault="008521F0" w:rsidP="00BA5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21F0" w:rsidRPr="00BA5303" w:rsidTr="00BA5303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29183,9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11,8681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1,08</w:t>
            </w:r>
          </w:p>
        </w:tc>
      </w:tr>
      <w:tr w:rsidR="008521F0" w:rsidRPr="00BA5303" w:rsidTr="00BA5303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29846,6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12,6588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1,09</w:t>
            </w:r>
          </w:p>
        </w:tc>
      </w:tr>
      <w:tr w:rsidR="008521F0" w:rsidRPr="00BA5303" w:rsidTr="00BA5303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30235,2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12,0246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0" w:rsidRPr="00BA5303" w:rsidRDefault="008521F0" w:rsidP="00BA53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1,11</w:t>
            </w:r>
          </w:p>
        </w:tc>
      </w:tr>
    </w:tbl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Агрегированный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рассчитывается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формуле: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r w:rsidRPr="00BA5303">
        <w:rPr>
          <w:color w:val="000000" w:themeColor="text1"/>
        </w:rPr>
        <w:t>Ур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=(</w:t>
      </w:r>
      <w:proofErr w:type="spellStart"/>
      <w:r w:rsidRPr="00BA5303">
        <w:rPr>
          <w:color w:val="000000" w:themeColor="text1"/>
        </w:rPr>
        <w:t>Уву+Увз+Увр</w:t>
      </w:r>
      <w:proofErr w:type="spellEnd"/>
      <w:r w:rsidRPr="00BA5303">
        <w:rPr>
          <w:color w:val="000000" w:themeColor="text1"/>
        </w:rPr>
        <w:t>)/3-(</w:t>
      </w:r>
      <w:proofErr w:type="spellStart"/>
      <w:r w:rsidRPr="00BA5303">
        <w:rPr>
          <w:color w:val="000000" w:themeColor="text1"/>
        </w:rPr>
        <w:t>Кб-Ко</w:t>
      </w:r>
      <w:proofErr w:type="spellEnd"/>
      <w:r w:rsidRPr="00BA5303">
        <w:rPr>
          <w:color w:val="000000" w:themeColor="text1"/>
        </w:rPr>
        <w:t>).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Соответственно,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наших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составляют: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r w:rsidRPr="00BA5303">
        <w:rPr>
          <w:color w:val="000000" w:themeColor="text1"/>
        </w:rPr>
        <w:t>У</w:t>
      </w:r>
      <w:r w:rsidR="00BA5303">
        <w:rPr>
          <w:color w:val="000000" w:themeColor="text1"/>
        </w:rPr>
        <w:t xml:space="preserve"> </w:t>
      </w:r>
      <w:proofErr w:type="spellStart"/>
      <w:proofErr w:type="gramStart"/>
      <w:r w:rsidRPr="00BA5303">
        <w:rPr>
          <w:color w:val="000000" w:themeColor="text1"/>
        </w:rPr>
        <w:t>р</w:t>
      </w:r>
      <w:proofErr w:type="spellEnd"/>
      <w:proofErr w:type="gram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2007=1,02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r w:rsidRPr="00BA5303">
        <w:rPr>
          <w:color w:val="000000" w:themeColor="text1"/>
        </w:rPr>
        <w:t>У</w:t>
      </w:r>
      <w:r w:rsidR="00BA5303">
        <w:rPr>
          <w:color w:val="000000" w:themeColor="text1"/>
        </w:rPr>
        <w:t xml:space="preserve"> </w:t>
      </w:r>
      <w:proofErr w:type="spellStart"/>
      <w:proofErr w:type="gramStart"/>
      <w:r w:rsidRPr="00BA5303">
        <w:rPr>
          <w:color w:val="000000" w:themeColor="text1"/>
        </w:rPr>
        <w:t>р</w:t>
      </w:r>
      <w:proofErr w:type="spellEnd"/>
      <w:proofErr w:type="gram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2008=0,98.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lastRenderedPageBreak/>
        <w:t>За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год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составила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+2%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отношению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2006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за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</w:t>
      </w:r>
      <w:r w:rsidR="00BA5303">
        <w:rPr>
          <w:color w:val="000000" w:themeColor="text1"/>
        </w:rPr>
        <w:t xml:space="preserve">  </w:t>
      </w:r>
      <w:r w:rsidRPr="00BA5303">
        <w:rPr>
          <w:color w:val="000000" w:themeColor="text1"/>
        </w:rPr>
        <w:t>-2%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отношению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Таким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образом,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году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понизилась.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можно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объяснить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влиянием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кризиса.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Теперь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основе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агрегированных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показателей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экономичности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мы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можем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рассчитать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общую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Агрегированный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общей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рассчитывается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формуле: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proofErr w:type="spellStart"/>
      <w:r w:rsidRPr="00BA5303">
        <w:rPr>
          <w:color w:val="000000" w:themeColor="text1"/>
        </w:rPr>
        <w:t>Уэф</w:t>
      </w:r>
      <w:proofErr w:type="spellEnd"/>
      <w:r w:rsidR="00BA5303">
        <w:rPr>
          <w:color w:val="000000" w:themeColor="text1"/>
        </w:rPr>
        <w:t xml:space="preserve"> </w:t>
      </w:r>
      <w:proofErr w:type="spellStart"/>
      <w:r w:rsidRPr="00BA5303">
        <w:rPr>
          <w:color w:val="000000" w:themeColor="text1"/>
        </w:rPr>
        <w:t>=Ур+</w:t>
      </w:r>
      <w:proofErr w:type="spellEnd"/>
      <w:r w:rsidRPr="00BA5303">
        <w:rPr>
          <w:color w:val="000000" w:themeColor="text1"/>
        </w:rPr>
        <w:t>(1-Уэк).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Соответственно,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для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наших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данных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показатели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составляют: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r w:rsidRPr="00BA5303">
        <w:rPr>
          <w:color w:val="000000" w:themeColor="text1"/>
        </w:rPr>
        <w:t>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2007=1,03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  <w:r w:rsidRPr="00BA5303">
        <w:rPr>
          <w:color w:val="000000" w:themeColor="text1"/>
        </w:rPr>
        <w:t>У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2008=0,98.</w:t>
      </w:r>
    </w:p>
    <w:p w:rsidR="008521F0" w:rsidRPr="00BA5303" w:rsidRDefault="008521F0" w:rsidP="008521F0">
      <w:pPr>
        <w:pStyle w:val="af9"/>
        <w:spacing w:line="240" w:lineRule="auto"/>
        <w:jc w:val="center"/>
        <w:rPr>
          <w:color w:val="000000" w:themeColor="text1"/>
        </w:rPr>
      </w:pP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Эффективность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систем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управления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повысилась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сравнению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2006</w:t>
      </w:r>
      <w:r w:rsidR="00BA5303">
        <w:rPr>
          <w:color w:val="000000" w:themeColor="text1"/>
        </w:rPr>
        <w:t xml:space="preserve"> 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3%,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в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2008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эффективность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снизилась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на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2%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сравнению</w:t>
      </w:r>
      <w:r w:rsidR="00BA5303">
        <w:rPr>
          <w:color w:val="000000" w:themeColor="text1"/>
        </w:rPr>
        <w:t xml:space="preserve"> </w:t>
      </w:r>
      <w:proofErr w:type="gramStart"/>
      <w:r w:rsidRPr="00BA5303">
        <w:rPr>
          <w:color w:val="000000" w:themeColor="text1"/>
        </w:rPr>
        <w:t>с</w:t>
      </w:r>
      <w:proofErr w:type="gramEnd"/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2007.</w:t>
      </w:r>
    </w:p>
    <w:p w:rsidR="008521F0" w:rsidRPr="00BA5303" w:rsidRDefault="008521F0" w:rsidP="008521F0">
      <w:pPr>
        <w:pStyle w:val="af9"/>
        <w:spacing w:line="240" w:lineRule="auto"/>
        <w:rPr>
          <w:color w:val="000000" w:themeColor="text1"/>
        </w:rPr>
      </w:pPr>
      <w:r w:rsidRPr="00BA5303">
        <w:rPr>
          <w:color w:val="000000" w:themeColor="text1"/>
        </w:rPr>
        <w:t>Стоит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отметить,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что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данный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результат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можно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расценивать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как</w:t>
      </w:r>
      <w:r w:rsidR="00BA5303">
        <w:rPr>
          <w:color w:val="000000" w:themeColor="text1"/>
        </w:rPr>
        <w:t xml:space="preserve"> </w:t>
      </w:r>
      <w:proofErr w:type="gramStart"/>
      <w:r w:rsidRPr="00BA5303">
        <w:rPr>
          <w:color w:val="000000" w:themeColor="text1"/>
        </w:rPr>
        <w:t>очень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положительный</w:t>
      </w:r>
      <w:proofErr w:type="gramEnd"/>
      <w:r w:rsidRPr="00BA5303">
        <w:rPr>
          <w:color w:val="000000" w:themeColor="text1"/>
        </w:rPr>
        <w:t>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Компания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работает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стабильно.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Отклонения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можно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признать</w:t>
      </w:r>
      <w:r w:rsidR="00BA5303">
        <w:rPr>
          <w:color w:val="000000" w:themeColor="text1"/>
        </w:rPr>
        <w:t xml:space="preserve"> </w:t>
      </w:r>
      <w:r w:rsidRPr="00BA5303">
        <w:rPr>
          <w:color w:val="000000" w:themeColor="text1"/>
        </w:rPr>
        <w:t>несущественными.</w:t>
      </w:r>
    </w:p>
    <w:p w:rsidR="005D6008" w:rsidRPr="00BA5303" w:rsidRDefault="005D6008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 w:type="page"/>
      </w:r>
    </w:p>
    <w:p w:rsidR="00EC3A6B" w:rsidRPr="00BA5303" w:rsidRDefault="00E943DF" w:rsidP="00E943DF">
      <w:pPr>
        <w:shd w:val="clear" w:color="auto" w:fill="FFFFFF"/>
        <w:spacing w:after="0" w:line="360" w:lineRule="auto"/>
        <w:ind w:firstLine="470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2.4.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УПРАВЛЕНЧЕСКИЙ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ЗАКОНОВ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ИХ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СОЗНАТЕЛЬНОЕ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ИСПОЛЬЗОВАНИЕ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УПРАВЛЕНИИ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A1E20" w:rsidRPr="00BA5303" w:rsidRDefault="001A1E20" w:rsidP="001A1E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Управленческий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законов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их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сознательное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использование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управлении.</w:t>
      </w:r>
    </w:p>
    <w:p w:rsidR="001A1E20" w:rsidRPr="00BA5303" w:rsidRDefault="001A1E20" w:rsidP="001A1E2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специфических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законов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E20" w:rsidRPr="00BA5303" w:rsidRDefault="001A1E20" w:rsidP="001A1E20">
      <w:pPr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1A1E20" w:rsidRPr="00BA5303" w:rsidRDefault="001A1E20" w:rsidP="001A1E20">
      <w:pPr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заключени</w:t>
      </w:r>
      <w:proofErr w:type="gramStart"/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proofErr w:type="gramEnd"/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данной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части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курсовой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работы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необходимо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четко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сформулировать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проблемы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компании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контексте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проведенного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P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исследования.</w:t>
      </w:r>
      <w:r w:rsidR="00BA53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E0048" w:rsidRPr="00BA5303" w:rsidRDefault="00CE00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C3A6B" w:rsidRPr="00BA5303" w:rsidRDefault="00CE0048" w:rsidP="00CE004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CE0048" w:rsidRPr="00BA5303" w:rsidRDefault="00CE0048" w:rsidP="00CE004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E0048" w:rsidRPr="00BA5303" w:rsidRDefault="00CE0048" w:rsidP="00CE00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организационно-производственной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введены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обозначения:</w:t>
      </w:r>
    </w:p>
    <w:p w:rsidR="00CE0048" w:rsidRPr="00BA5303" w:rsidRDefault="00CE0048" w:rsidP="00CE00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4" type="#_x0000_t19" style="position:absolute;left:0;text-align:left;margin-left:1.95pt;margin-top:6.1pt;width:53.25pt;height:14.25pt;z-index:251687936"/>
        </w:pic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координирующие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(функциональное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руководство).</w:t>
      </w:r>
    </w:p>
    <w:p w:rsidR="00CE0048" w:rsidRPr="00BA5303" w:rsidRDefault="00CE0048" w:rsidP="00CE00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058" style="position:absolute;left:0;text-align:left;margin-left:4.2pt;margin-top:26.7pt;width:441pt;height:146.25pt;z-index:251685888" coordorigin="1605,13695" coordsize="8820,29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2460;top:15480;width:7320;height:0" o:connectortype="straight"/>
            <v:shape id="_x0000_s1060" type="#_x0000_t32" style="position:absolute;left:4515;top:15480;width:0;height:135" o:connectortype="straight">
              <v:stroke endarrow="block"/>
            </v:shape>
            <v:group id="_x0000_s1061" style="position:absolute;left:1605;top:13695;width:8820;height:2925" coordorigin="1605,13695" coordsize="8820,2925">
              <v:group id="_x0000_s1062" style="position:absolute;left:1605;top:13695;width:8820;height:2730" coordorigin="1605,13695" coordsize="8820,2730">
                <v:group id="_x0000_s1063" style="position:absolute;left:1605;top:13695;width:6570;height:1695" coordorigin="1605,13695" coordsize="6570,1695">
                  <v:rect id="_x0000_s1064" style="position:absolute;left:1605;top:13695;width:2625;height:660">
                    <v:textbox style="mso-next-textbox:#_x0000_s1064">
                      <w:txbxContent>
                        <w:p w:rsidR="00BA5303" w:rsidRPr="00482509" w:rsidRDefault="00BA5303" w:rsidP="00CE004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25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Генеральный Директор</w:t>
                          </w:r>
                        </w:p>
                      </w:txbxContent>
                    </v:textbox>
                  </v:rect>
                  <v:rect id="_x0000_s1065" style="position:absolute;left:4620;top:13830;width:2625;height:660">
                    <v:textbox style="mso-next-textbox:#_x0000_s1065">
                      <w:txbxContent>
                        <w:p w:rsidR="00BA5303" w:rsidRPr="00482509" w:rsidRDefault="00BA5303" w:rsidP="00CE004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25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Штаб Генерального Директора</w:t>
                          </w:r>
                        </w:p>
                      </w:txbxContent>
                    </v:textbox>
                  </v:rect>
                  <v:rect id="_x0000_s1066" style="position:absolute;left:5550;top:14730;width:2625;height:660">
                    <v:textbox style="mso-next-textbox:#_x0000_s1066">
                      <w:txbxContent>
                        <w:p w:rsidR="00BA5303" w:rsidRPr="00482509" w:rsidRDefault="00BA5303" w:rsidP="00CE004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25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Функциональные службы</w:t>
                          </w:r>
                        </w:p>
                      </w:txbxContent>
                    </v:textbox>
                  </v:rect>
                  <v:rect id="_x0000_s1067" style="position:absolute;left:1605;top:14730;width:2625;height:660">
                    <v:textbox style="mso-next-textbox:#_x0000_s1067">
                      <w:txbxContent>
                        <w:p w:rsidR="00BA5303" w:rsidRPr="00482509" w:rsidRDefault="00BA5303" w:rsidP="00CE004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250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Руководитель производства</w:t>
                          </w:r>
                        </w:p>
                      </w:txbxContent>
                    </v:textbox>
                  </v:rect>
                </v:group>
                <v:rect id="_x0000_s1068" style="position:absolute;left:1605;top:15615;width:1905;height:810">
                  <v:textbox style="mso-next-textbox:#_x0000_s1068">
                    <w:txbxContent>
                      <w:p w:rsidR="00BA5303" w:rsidRPr="00482509" w:rsidRDefault="00BA5303" w:rsidP="00CE004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8250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Цех основного производства 1</w:t>
                        </w:r>
                      </w:p>
                    </w:txbxContent>
                  </v:textbox>
                </v:rect>
                <v:rect id="_x0000_s1069" style="position:absolute;left:3750;top:15615;width:1905;height:810">
                  <v:textbox style="mso-next-textbox:#_x0000_s1069">
                    <w:txbxContent>
                      <w:p w:rsidR="00BA5303" w:rsidRPr="00482509" w:rsidRDefault="00BA5303" w:rsidP="00CE004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8250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Цех основного производства 2</w:t>
                        </w:r>
                      </w:p>
                    </w:txbxContent>
                  </v:textbox>
                </v:rect>
                <v:rect id="_x0000_s1070" style="position:absolute;left:6150;top:15615;width:1905;height:810">
                  <v:textbox style="mso-next-textbox:#_x0000_s1070">
                    <w:txbxContent>
                      <w:p w:rsidR="00BA5303" w:rsidRPr="00482509" w:rsidRDefault="00BA5303" w:rsidP="00CE004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8250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Цех окончательной сборки</w:t>
                        </w:r>
                      </w:p>
                    </w:txbxContent>
                  </v:textbox>
                </v:rect>
                <v:rect id="_x0000_s1071" style="position:absolute;left:8520;top:15615;width:1905;height:810">
                  <v:textbox style="mso-next-textbox:#_x0000_s1071">
                    <w:txbxContent>
                      <w:p w:rsidR="00BA5303" w:rsidRPr="00482509" w:rsidRDefault="00BA5303" w:rsidP="00CE004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8250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Цех вспомогательного производства</w:t>
                        </w:r>
                      </w:p>
                    </w:txbxContent>
                  </v:textbox>
                </v:rect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72" type="#_x0000_t34" style="position:absolute;left:3750;top:14355;width:870;height:135" o:connectortype="elbow" adj=",-2296800,-93103">
                <v:stroke endarrow="block"/>
              </v:shape>
              <v:shape id="_x0000_s1073" type="#_x0000_t32" style="position:absolute;left:4230;top:14490;width:0;height:240" o:connectortype="straight">
                <v:stroke endarrow="block"/>
              </v:shape>
              <v:shape id="_x0000_s1074" type="#_x0000_t32" style="position:absolute;left:4230;top:14580;width:1920;height:0" o:connectortype="straight"/>
              <v:shape id="_x0000_s1075" type="#_x0000_t32" style="position:absolute;left:6150;top:14580;width:0;height:150" o:connectortype="straight">
                <v:stroke endarrow="block"/>
              </v:shape>
              <v:shape id="_x0000_s1076" type="#_x0000_t34" style="position:absolute;left:3998;top:14962;width:750;height:285;rotation:90;flip:x" o:connectortype="elbow" adj=",1116379,-121824"/>
              <v:shape id="_x0000_s1077" type="#_x0000_t32" style="position:absolute;left:2460;top:15480;width:0;height:135" o:connectortype="straight">
                <v:stroke endarrow="block"/>
              </v:shape>
              <v:shape id="_x0000_s1078" type="#_x0000_t32" style="position:absolute;left:9779;top:15480;width:1;height:135" o:connectortype="straight">
                <v:stroke endarrow="block"/>
              </v:shape>
              <v:shape id="_x0000_s1079" type="#_x0000_t32" style="position:absolute;left:7125;top:15480;width:0;height:135" o:connectortype="straight">
                <v:stroke endarrow="block"/>
              </v:shape>
              <v:shape id="_x0000_s1080" type="#_x0000_t19" style="position:absolute;left:8175;top:14940;width:1890;height:675"/>
              <v:shape id="_x0000_s1081" type="#_x0000_t19" style="position:absolute;left:4756;top:14941;width:793;height:1395;flip:x" coordsize="18204,21600" adj=",-2134124" path="wr-21600,,21600,43200,,,18204,9974nfewr-21600,,21600,43200,,,18204,9974l,21600nsxe">
                <v:path o:connectlocs="0,0;18204,9974;0,21600"/>
              </v:shape>
              <v:shape id="_x0000_s1082" type="#_x0000_t19" style="position:absolute;left:3510;top:15285;width:2040;height:570;flip:x"/>
              <v:shape id="_x0000_s1083" type="#_x0000_t19" style="position:absolute;left:8055;top:15105;width:285;height:1515" coordsize="43200,43200" adj=",11796480,21600" path="wr,,43200,43200,21600,,,21600nfewr,,43200,43200,21600,,,21600l21600,21600nsxe">
                <v:path o:connectlocs="21600,0;0,21600;21600,21600"/>
              </v:shape>
            </v:group>
          </v:group>
        </w:pict>
      </w:r>
      <w:r w:rsidRPr="00BA5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85" type="#_x0000_t32" style="position:absolute;left:0;text-align:left;margin-left:1.95pt;margin-top:11.35pt;width:60pt;height:0;z-index:251688960" o:connectortype="straight">
            <v:stroke endarrow="block"/>
          </v:shape>
        </w:pic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линейные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</w:t>
      </w:r>
      <w:r w:rsidR="00B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03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полномочия.</w:t>
      </w:r>
    </w:p>
    <w:p w:rsidR="00CE0048" w:rsidRPr="00BA5303" w:rsidRDefault="00CE0048" w:rsidP="00CE004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0048" w:rsidRPr="00BA5303" w:rsidSect="00DF211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51" w:rsidRDefault="004C2A51" w:rsidP="005D6008">
      <w:pPr>
        <w:spacing w:after="0" w:line="240" w:lineRule="auto"/>
      </w:pPr>
      <w:r>
        <w:separator/>
      </w:r>
    </w:p>
  </w:endnote>
  <w:endnote w:type="continuationSeparator" w:id="0">
    <w:p w:rsidR="004C2A51" w:rsidRDefault="004C2A51" w:rsidP="005D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03" w:rsidRDefault="00BA53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51" w:rsidRDefault="004C2A51" w:rsidP="005D6008">
      <w:pPr>
        <w:spacing w:after="0" w:line="240" w:lineRule="auto"/>
      </w:pPr>
      <w:r>
        <w:separator/>
      </w:r>
    </w:p>
  </w:footnote>
  <w:footnote w:type="continuationSeparator" w:id="0">
    <w:p w:rsidR="004C2A51" w:rsidRDefault="004C2A51" w:rsidP="005D6008">
      <w:pPr>
        <w:spacing w:after="0" w:line="240" w:lineRule="auto"/>
      </w:pPr>
      <w:r>
        <w:continuationSeparator/>
      </w:r>
    </w:p>
  </w:footnote>
  <w:footnote w:id="1">
    <w:p w:rsidR="00BA5303" w:rsidRPr="003F10C7" w:rsidRDefault="00BA5303" w:rsidP="003F1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90A">
        <w:rPr>
          <w:rStyle w:val="af0"/>
          <w:rFonts w:ascii="Times New Roman" w:hAnsi="Times New Roman"/>
          <w:sz w:val="20"/>
          <w:szCs w:val="20"/>
        </w:rPr>
        <w:footnoteRef/>
      </w:r>
      <w:r w:rsidRPr="001D290A">
        <w:rPr>
          <w:rFonts w:ascii="Times New Roman" w:hAnsi="Times New Roman" w:cs="Times New Roman"/>
          <w:sz w:val="20"/>
          <w:szCs w:val="20"/>
        </w:rPr>
        <w:t xml:space="preserve"> Егоршин, А. П. Мотивация трудовой деятельности: Учеб</w:t>
      </w:r>
      <w:proofErr w:type="gramStart"/>
      <w:r w:rsidRPr="001D29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29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290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290A">
        <w:rPr>
          <w:rFonts w:ascii="Times New Roman" w:hAnsi="Times New Roman" w:cs="Times New Roman"/>
          <w:sz w:val="20"/>
          <w:szCs w:val="20"/>
        </w:rPr>
        <w:t>особие. / А. П. Егоршин. –</w:t>
      </w:r>
      <w:r>
        <w:rPr>
          <w:rFonts w:ascii="Times New Roman" w:hAnsi="Times New Roman" w:cs="Times New Roman"/>
          <w:sz w:val="20"/>
          <w:szCs w:val="20"/>
        </w:rPr>
        <w:t xml:space="preserve">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Инфра-М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2017. – с. 173. </w:t>
      </w:r>
    </w:p>
  </w:footnote>
  <w:footnote w:id="2">
    <w:p w:rsidR="00BA5303" w:rsidRPr="001B215C" w:rsidRDefault="00BA5303" w:rsidP="008521F0">
      <w:pPr>
        <w:pStyle w:val="ae"/>
        <w:rPr>
          <w:sz w:val="18"/>
          <w:szCs w:val="18"/>
        </w:rPr>
      </w:pPr>
      <w:r w:rsidRPr="001B215C">
        <w:rPr>
          <w:rStyle w:val="af0"/>
          <w:sz w:val="18"/>
          <w:szCs w:val="18"/>
        </w:rPr>
        <w:footnoteRef/>
      </w:r>
      <w:r w:rsidRPr="001B215C">
        <w:rPr>
          <w:sz w:val="18"/>
          <w:szCs w:val="18"/>
        </w:rPr>
        <w:t xml:space="preserve"> Бланк И.. Основы финансового менеджмента. – М.: Ника-Центр, 2006. – 632с.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022EC"/>
    <w:lvl w:ilvl="0">
      <w:numFmt w:val="bullet"/>
      <w:lvlText w:val="*"/>
      <w:lvlJc w:val="left"/>
    </w:lvl>
  </w:abstractNum>
  <w:abstractNum w:abstractNumId="1">
    <w:nsid w:val="01FB2728"/>
    <w:multiLevelType w:val="hybridMultilevel"/>
    <w:tmpl w:val="A3FA2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F3629"/>
    <w:multiLevelType w:val="hybridMultilevel"/>
    <w:tmpl w:val="DF86D86A"/>
    <w:lvl w:ilvl="0" w:tplc="E3A86416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48F"/>
    <w:multiLevelType w:val="hybridMultilevel"/>
    <w:tmpl w:val="69B4A7AA"/>
    <w:lvl w:ilvl="0" w:tplc="D92C07C2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D48"/>
    <w:multiLevelType w:val="hybridMultilevel"/>
    <w:tmpl w:val="69FE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F50"/>
    <w:multiLevelType w:val="hybridMultilevel"/>
    <w:tmpl w:val="243EA252"/>
    <w:lvl w:ilvl="0" w:tplc="27182B9C">
      <w:start w:val="1"/>
      <w:numFmt w:val="decimal"/>
      <w:lvlText w:val="%1."/>
      <w:lvlJc w:val="left"/>
      <w:pPr>
        <w:tabs>
          <w:tab w:val="num" w:pos="2377"/>
        </w:tabs>
        <w:ind w:left="237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C7828"/>
    <w:multiLevelType w:val="hybridMultilevel"/>
    <w:tmpl w:val="E522E0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064D39"/>
    <w:multiLevelType w:val="hybridMultilevel"/>
    <w:tmpl w:val="9890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E2056"/>
    <w:multiLevelType w:val="hybridMultilevel"/>
    <w:tmpl w:val="1F8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4079E"/>
    <w:multiLevelType w:val="hybridMultilevel"/>
    <w:tmpl w:val="C730FB02"/>
    <w:lvl w:ilvl="0" w:tplc="65587A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5559"/>
    <w:multiLevelType w:val="hybridMultilevel"/>
    <w:tmpl w:val="003EAD9C"/>
    <w:lvl w:ilvl="0" w:tplc="8A94D40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1FD859C3"/>
    <w:multiLevelType w:val="hybridMultilevel"/>
    <w:tmpl w:val="C9F8E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333EDA"/>
    <w:multiLevelType w:val="hybridMultilevel"/>
    <w:tmpl w:val="966EA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814E13"/>
    <w:multiLevelType w:val="hybridMultilevel"/>
    <w:tmpl w:val="F90261BE"/>
    <w:lvl w:ilvl="0" w:tplc="AFD64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853DA7"/>
    <w:multiLevelType w:val="hybridMultilevel"/>
    <w:tmpl w:val="C3E4B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005F90"/>
    <w:multiLevelType w:val="hybridMultilevel"/>
    <w:tmpl w:val="BB96D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D7D98"/>
    <w:multiLevelType w:val="hybridMultilevel"/>
    <w:tmpl w:val="2264D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0474"/>
    <w:multiLevelType w:val="hybridMultilevel"/>
    <w:tmpl w:val="417EDE5A"/>
    <w:lvl w:ilvl="0" w:tplc="F842C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21C88"/>
    <w:multiLevelType w:val="multilevel"/>
    <w:tmpl w:val="0D3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A62114"/>
    <w:multiLevelType w:val="multilevel"/>
    <w:tmpl w:val="55E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960A5"/>
    <w:multiLevelType w:val="hybridMultilevel"/>
    <w:tmpl w:val="C1FC585E"/>
    <w:lvl w:ilvl="0" w:tplc="CABE4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E30C99"/>
    <w:multiLevelType w:val="hybridMultilevel"/>
    <w:tmpl w:val="DA849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43827"/>
    <w:multiLevelType w:val="hybridMultilevel"/>
    <w:tmpl w:val="393E6C60"/>
    <w:lvl w:ilvl="0" w:tplc="B20AB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D2505AE"/>
    <w:multiLevelType w:val="multilevel"/>
    <w:tmpl w:val="0B10D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921AFF"/>
    <w:multiLevelType w:val="hybridMultilevel"/>
    <w:tmpl w:val="907AFBEA"/>
    <w:lvl w:ilvl="0" w:tplc="268049E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01D5C"/>
    <w:multiLevelType w:val="hybridMultilevel"/>
    <w:tmpl w:val="CC22B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C3F92"/>
    <w:multiLevelType w:val="hybridMultilevel"/>
    <w:tmpl w:val="4C1E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410E13"/>
    <w:multiLevelType w:val="hybridMultilevel"/>
    <w:tmpl w:val="50D68924"/>
    <w:lvl w:ilvl="0" w:tplc="FB7A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620194"/>
    <w:multiLevelType w:val="singleLevel"/>
    <w:tmpl w:val="906C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240228B"/>
    <w:multiLevelType w:val="hybridMultilevel"/>
    <w:tmpl w:val="7ACE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C6989"/>
    <w:multiLevelType w:val="hybridMultilevel"/>
    <w:tmpl w:val="0A28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F16E1"/>
    <w:multiLevelType w:val="hybridMultilevel"/>
    <w:tmpl w:val="D9E26AA8"/>
    <w:lvl w:ilvl="0" w:tplc="E3A86416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65587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256F0"/>
    <w:multiLevelType w:val="hybridMultilevel"/>
    <w:tmpl w:val="E1F06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AC50EC"/>
    <w:multiLevelType w:val="multilevel"/>
    <w:tmpl w:val="DA40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6A2568C9"/>
    <w:multiLevelType w:val="hybridMultilevel"/>
    <w:tmpl w:val="25463224"/>
    <w:lvl w:ilvl="0" w:tplc="D5B87B0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992D0C"/>
    <w:multiLevelType w:val="hybridMultilevel"/>
    <w:tmpl w:val="F95260BA"/>
    <w:lvl w:ilvl="0" w:tplc="DACA0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DEA7E97"/>
    <w:multiLevelType w:val="hybridMultilevel"/>
    <w:tmpl w:val="6E7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C8365F"/>
    <w:multiLevelType w:val="hybridMultilevel"/>
    <w:tmpl w:val="304065D4"/>
    <w:lvl w:ilvl="0" w:tplc="AFD64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F661DF"/>
    <w:multiLevelType w:val="hybridMultilevel"/>
    <w:tmpl w:val="F2264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8D5517"/>
    <w:multiLevelType w:val="hybridMultilevel"/>
    <w:tmpl w:val="4C1E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1968AA"/>
    <w:multiLevelType w:val="hybridMultilevel"/>
    <w:tmpl w:val="380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A7412"/>
    <w:multiLevelType w:val="hybridMultilevel"/>
    <w:tmpl w:val="4724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C40CA"/>
    <w:multiLevelType w:val="hybridMultilevel"/>
    <w:tmpl w:val="6A5EFD58"/>
    <w:lvl w:ilvl="0" w:tplc="AFD64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870049"/>
    <w:multiLevelType w:val="hybridMultilevel"/>
    <w:tmpl w:val="C44AE0E2"/>
    <w:lvl w:ilvl="0" w:tplc="280E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AC5910"/>
    <w:multiLevelType w:val="hybridMultilevel"/>
    <w:tmpl w:val="E5B8666A"/>
    <w:lvl w:ilvl="0" w:tplc="10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0"/>
  </w:num>
  <w:num w:numId="5">
    <w:abstractNumId w:val="24"/>
  </w:num>
  <w:num w:numId="6">
    <w:abstractNumId w:val="39"/>
  </w:num>
  <w:num w:numId="7">
    <w:abstractNumId w:val="45"/>
  </w:num>
  <w:num w:numId="8">
    <w:abstractNumId w:val="27"/>
  </w:num>
  <w:num w:numId="9">
    <w:abstractNumId w:val="35"/>
  </w:num>
  <w:num w:numId="10">
    <w:abstractNumId w:val="36"/>
  </w:num>
  <w:num w:numId="11">
    <w:abstractNumId w:val="11"/>
  </w:num>
  <w:num w:numId="12">
    <w:abstractNumId w:val="2"/>
  </w:num>
  <w:num w:numId="13">
    <w:abstractNumId w:val="31"/>
  </w:num>
  <w:num w:numId="14">
    <w:abstractNumId w:val="32"/>
  </w:num>
  <w:num w:numId="15">
    <w:abstractNumId w:val="28"/>
  </w:num>
  <w:num w:numId="16">
    <w:abstractNumId w:val="44"/>
  </w:num>
  <w:num w:numId="17">
    <w:abstractNumId w:val="18"/>
  </w:num>
  <w:num w:numId="18">
    <w:abstractNumId w:val="43"/>
  </w:num>
  <w:num w:numId="19">
    <w:abstractNumId w:val="5"/>
  </w:num>
  <w:num w:numId="20">
    <w:abstractNumId w:val="3"/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1"/>
  </w:num>
  <w:num w:numId="25">
    <w:abstractNumId w:val="13"/>
  </w:num>
  <w:num w:numId="26">
    <w:abstractNumId w:val="37"/>
  </w:num>
  <w:num w:numId="27">
    <w:abstractNumId w:val="34"/>
  </w:num>
  <w:num w:numId="28">
    <w:abstractNumId w:val="15"/>
  </w:num>
  <w:num w:numId="29">
    <w:abstractNumId w:val="1"/>
  </w:num>
  <w:num w:numId="30">
    <w:abstractNumId w:val="38"/>
  </w:num>
  <w:num w:numId="31">
    <w:abstractNumId w:val="33"/>
  </w:num>
  <w:num w:numId="32">
    <w:abstractNumId w:val="20"/>
  </w:num>
  <w:num w:numId="33">
    <w:abstractNumId w:val="41"/>
  </w:num>
  <w:num w:numId="34">
    <w:abstractNumId w:val="29"/>
  </w:num>
  <w:num w:numId="35">
    <w:abstractNumId w:val="26"/>
  </w:num>
  <w:num w:numId="36">
    <w:abstractNumId w:val="9"/>
  </w:num>
  <w:num w:numId="37">
    <w:abstractNumId w:val="12"/>
  </w:num>
  <w:num w:numId="38">
    <w:abstractNumId w:val="25"/>
  </w:num>
  <w:num w:numId="39">
    <w:abstractNumId w:val="4"/>
  </w:num>
  <w:num w:numId="40">
    <w:abstractNumId w:val="14"/>
  </w:num>
  <w:num w:numId="41">
    <w:abstractNumId w:val="40"/>
  </w:num>
  <w:num w:numId="42">
    <w:abstractNumId w:val="23"/>
  </w:num>
  <w:num w:numId="43">
    <w:abstractNumId w:val="16"/>
  </w:num>
  <w:num w:numId="44">
    <w:abstractNumId w:val="8"/>
  </w:num>
  <w:num w:numId="45">
    <w:abstractNumId w:val="30"/>
  </w:num>
  <w:num w:numId="46">
    <w:abstractNumId w:val="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DB"/>
    <w:rsid w:val="000555E3"/>
    <w:rsid w:val="00094452"/>
    <w:rsid w:val="000B11A9"/>
    <w:rsid w:val="000C4721"/>
    <w:rsid w:val="000C5ACE"/>
    <w:rsid w:val="000E2326"/>
    <w:rsid w:val="001A1E20"/>
    <w:rsid w:val="001E7942"/>
    <w:rsid w:val="00217EAD"/>
    <w:rsid w:val="0022073F"/>
    <w:rsid w:val="00235C5C"/>
    <w:rsid w:val="0024112C"/>
    <w:rsid w:val="00327B84"/>
    <w:rsid w:val="00335441"/>
    <w:rsid w:val="003A31AB"/>
    <w:rsid w:val="003F10C7"/>
    <w:rsid w:val="00401C6D"/>
    <w:rsid w:val="00482509"/>
    <w:rsid w:val="0049159F"/>
    <w:rsid w:val="004C1D9C"/>
    <w:rsid w:val="004C2A51"/>
    <w:rsid w:val="004E5FFE"/>
    <w:rsid w:val="00574425"/>
    <w:rsid w:val="005A5BA7"/>
    <w:rsid w:val="005D6008"/>
    <w:rsid w:val="005F505C"/>
    <w:rsid w:val="00631B78"/>
    <w:rsid w:val="00671A5D"/>
    <w:rsid w:val="0067444F"/>
    <w:rsid w:val="006A6A59"/>
    <w:rsid w:val="006C0C01"/>
    <w:rsid w:val="006F77FC"/>
    <w:rsid w:val="00712DB0"/>
    <w:rsid w:val="0071501B"/>
    <w:rsid w:val="007712C3"/>
    <w:rsid w:val="00782328"/>
    <w:rsid w:val="00803C0B"/>
    <w:rsid w:val="00810577"/>
    <w:rsid w:val="008470EB"/>
    <w:rsid w:val="008521F0"/>
    <w:rsid w:val="00893CA2"/>
    <w:rsid w:val="008D18BB"/>
    <w:rsid w:val="008E4915"/>
    <w:rsid w:val="009049DC"/>
    <w:rsid w:val="00940D79"/>
    <w:rsid w:val="00941BDF"/>
    <w:rsid w:val="009646B3"/>
    <w:rsid w:val="00965AD6"/>
    <w:rsid w:val="009C1F06"/>
    <w:rsid w:val="00A3184A"/>
    <w:rsid w:val="00AA77A8"/>
    <w:rsid w:val="00AC03E2"/>
    <w:rsid w:val="00B30751"/>
    <w:rsid w:val="00B37802"/>
    <w:rsid w:val="00B65E1B"/>
    <w:rsid w:val="00BA44DB"/>
    <w:rsid w:val="00BA5303"/>
    <w:rsid w:val="00BB0275"/>
    <w:rsid w:val="00BC4A17"/>
    <w:rsid w:val="00BF1DDA"/>
    <w:rsid w:val="00C31831"/>
    <w:rsid w:val="00C335DE"/>
    <w:rsid w:val="00C946A0"/>
    <w:rsid w:val="00CE0048"/>
    <w:rsid w:val="00CE465A"/>
    <w:rsid w:val="00CF342D"/>
    <w:rsid w:val="00D139F1"/>
    <w:rsid w:val="00D1449D"/>
    <w:rsid w:val="00D53A54"/>
    <w:rsid w:val="00D81CB0"/>
    <w:rsid w:val="00D81DD5"/>
    <w:rsid w:val="00DF211E"/>
    <w:rsid w:val="00E25CE9"/>
    <w:rsid w:val="00E66871"/>
    <w:rsid w:val="00E943DF"/>
    <w:rsid w:val="00EB605B"/>
    <w:rsid w:val="00EC3A6B"/>
    <w:rsid w:val="00ED67FA"/>
    <w:rsid w:val="00ED7564"/>
    <w:rsid w:val="00EF354F"/>
    <w:rsid w:val="00EF3602"/>
    <w:rsid w:val="00EF5ADF"/>
    <w:rsid w:val="00FC0C1D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72"/>
        <o:r id="V:Rule34" type="connector" idref="#_x0000_s1073"/>
        <o:r id="V:Rule35" type="connector" idref="#_x0000_s1074"/>
        <o:r id="V:Rule36" type="connector" idref="#_x0000_s1075"/>
        <o:r id="V:Rule37" type="connector" idref="#_x0000_s1076"/>
        <o:r id="V:Rule38" type="connector" idref="#_x0000_s1059"/>
        <o:r id="V:Rule39" type="connector" idref="#_x0000_s1077"/>
        <o:r id="V:Rule40" type="connector" idref="#_x0000_s1060"/>
        <o:r id="V:Rule41" type="connector" idref="#_x0000_s1078"/>
        <o:r id="V:Rule42" type="connector" idref="#_x0000_s1079"/>
        <o:r id="V:Rule43" type="arc" idref="#_x0000_s1080"/>
        <o:r id="V:Rule44" type="arc" idref="#_x0000_s1081"/>
        <o:r id="V:Rule45" type="arc" idref="#_x0000_s1082"/>
        <o:r id="V:Rule46" type="arc" idref="#_x0000_s1083"/>
        <o:r id="V:Rule47" type="arc" idref="#_x0000_s1084"/>
        <o:r id="V:Rule4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E"/>
  </w:style>
  <w:style w:type="paragraph" w:styleId="1">
    <w:name w:val="heading 1"/>
    <w:basedOn w:val="a"/>
    <w:next w:val="a"/>
    <w:link w:val="10"/>
    <w:qFormat/>
    <w:rsid w:val="00803C0B"/>
    <w:pPr>
      <w:keepNext/>
      <w:spacing w:before="40" w:after="0" w:line="2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3C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3C0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3C0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80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C3A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008"/>
  </w:style>
  <w:style w:type="paragraph" w:styleId="a6">
    <w:name w:val="footer"/>
    <w:basedOn w:val="a"/>
    <w:link w:val="a7"/>
    <w:uiPriority w:val="99"/>
    <w:unhideWhenUsed/>
    <w:rsid w:val="005D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008"/>
  </w:style>
  <w:style w:type="character" w:styleId="a8">
    <w:name w:val="Hyperlink"/>
    <w:basedOn w:val="a0"/>
    <w:uiPriority w:val="99"/>
    <w:unhideWhenUsed/>
    <w:rsid w:val="004C1D9C"/>
    <w:rPr>
      <w:color w:val="0000FF"/>
      <w:u w:val="single"/>
    </w:rPr>
  </w:style>
  <w:style w:type="character" w:styleId="a9">
    <w:name w:val="Strong"/>
    <w:basedOn w:val="a0"/>
    <w:qFormat/>
    <w:rsid w:val="00D53A54"/>
    <w:rPr>
      <w:b/>
      <w:bCs/>
    </w:rPr>
  </w:style>
  <w:style w:type="character" w:styleId="aa">
    <w:name w:val="Emphasis"/>
    <w:basedOn w:val="a0"/>
    <w:uiPriority w:val="20"/>
    <w:qFormat/>
    <w:rsid w:val="00D53A5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42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6A6A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A6A59"/>
    <w:rPr>
      <w:sz w:val="20"/>
      <w:szCs w:val="20"/>
    </w:rPr>
  </w:style>
  <w:style w:type="character" w:styleId="af0">
    <w:name w:val="footnote reference"/>
    <w:basedOn w:val="a0"/>
    <w:unhideWhenUsed/>
    <w:rsid w:val="006A6A5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803C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03C0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803C0B"/>
    <w:pPr>
      <w:spacing w:before="360" w:after="12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03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80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80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80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03C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21">
    <w:name w:val="Body Text 2"/>
    <w:basedOn w:val="a"/>
    <w:link w:val="22"/>
    <w:uiPriority w:val="99"/>
    <w:unhideWhenUsed/>
    <w:rsid w:val="00803C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3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3C0B"/>
    <w:rPr>
      <w:rFonts w:cs="Times New Roman"/>
    </w:rPr>
  </w:style>
  <w:style w:type="paragraph" w:styleId="11">
    <w:name w:val="toc 1"/>
    <w:basedOn w:val="a"/>
    <w:next w:val="a"/>
    <w:autoRedefine/>
    <w:uiPriority w:val="39"/>
    <w:qFormat/>
    <w:rsid w:val="00803C0B"/>
    <w:pPr>
      <w:tabs>
        <w:tab w:val="left" w:pos="284"/>
        <w:tab w:val="right" w:leader="dot" w:pos="9072"/>
      </w:tabs>
      <w:spacing w:after="0" w:line="240" w:lineRule="auto"/>
      <w:ind w:right="849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03C0B"/>
    <w:pPr>
      <w:tabs>
        <w:tab w:val="right" w:leader="dot" w:pos="9072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803C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Style6">
    <w:name w:val="Style6"/>
    <w:basedOn w:val="a"/>
    <w:uiPriority w:val="99"/>
    <w:rsid w:val="00803C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3C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03C0B"/>
    <w:rPr>
      <w:rFonts w:ascii="Calibri" w:hAnsi="Calibri" w:cs="Calibri"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803C0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C0B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803C0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803C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tablebooks">
    <w:name w:val="tablebooks"/>
    <w:basedOn w:val="a0"/>
    <w:rsid w:val="00803C0B"/>
  </w:style>
  <w:style w:type="character" w:customStyle="1" w:styleId="ostalnoe1">
    <w:name w:val="ostalnoe1"/>
    <w:basedOn w:val="a0"/>
    <w:rsid w:val="00803C0B"/>
    <w:rPr>
      <w:sz w:val="18"/>
      <w:szCs w:val="18"/>
    </w:rPr>
  </w:style>
  <w:style w:type="paragraph" w:customStyle="1" w:styleId="af9">
    <w:name w:val="Мой стиль текста"/>
    <w:basedOn w:val="a"/>
    <w:link w:val="afa"/>
    <w:rsid w:val="00803C0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afa">
    <w:name w:val="Мой стиль текста Знак"/>
    <w:basedOn w:val="a0"/>
    <w:link w:val="af9"/>
    <w:rsid w:val="00803C0B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3_%D0%B3%D0%BE%D0%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D%D0%B2%D0%B5%D0%B9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E%D1%80%D0%B4,_%D0%93%D0%B5%D0%BD%D1%80%D0%B8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проданных автомобилей за год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bg1">
                  <a:lumMod val="95000"/>
                </a:schemeClr>
              </a:solidFill>
            </c:spPr>
          </c:dPt>
          <c:dPt>
            <c:idx val="8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9"/>
            <c:spPr>
              <a:solidFill>
                <a:srgbClr val="C00000"/>
              </a:solidFill>
            </c:spPr>
          </c:dPt>
          <c:dPt>
            <c:idx val="1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3"/>
            <c:spPr>
              <a:solidFill>
                <a:srgbClr val="FFC000"/>
              </a:solidFill>
            </c:spPr>
          </c:dPt>
          <c:dPt>
            <c:idx val="1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5"/>
            <c:spPr>
              <a:solidFill>
                <a:schemeClr val="tx2"/>
              </a:solidFill>
            </c:spPr>
          </c:dPt>
          <c:cat>
            <c:numRef>
              <c:f>Лист1!$A$2:$A$17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Лист1!$B$2:$B$17</c:f>
              <c:numCache>
                <c:formatCode>#,##0</c:formatCode>
                <c:ptCount val="16"/>
                <c:pt idx="0">
                  <c:v>3586466</c:v>
                </c:pt>
                <c:pt idx="1">
                  <c:v>3543466</c:v>
                </c:pt>
                <c:pt idx="2">
                  <c:v>4721822</c:v>
                </c:pt>
                <c:pt idx="3">
                  <c:v>5114299</c:v>
                </c:pt>
                <c:pt idx="4">
                  <c:v>4479429</c:v>
                </c:pt>
                <c:pt idx="5">
                  <c:v>4226642</c:v>
                </c:pt>
                <c:pt idx="6">
                  <c:v>4600125</c:v>
                </c:pt>
                <c:pt idx="7">
                  <c:v>5085037</c:v>
                </c:pt>
                <c:pt idx="8">
                  <c:v>5205277</c:v>
                </c:pt>
                <c:pt idx="9">
                  <c:v>5759962</c:v>
                </c:pt>
                <c:pt idx="10">
                  <c:v>5820413</c:v>
                </c:pt>
                <c:pt idx="11">
                  <c:v>6057095</c:v>
                </c:pt>
                <c:pt idx="12">
                  <c:v>6159031</c:v>
                </c:pt>
                <c:pt idx="13">
                  <c:v>6086421</c:v>
                </c:pt>
                <c:pt idx="14">
                  <c:v>5446410</c:v>
                </c:pt>
                <c:pt idx="15">
                  <c:v>2077811</c:v>
                </c:pt>
              </c:numCache>
            </c:numRef>
          </c:val>
        </c:ser>
        <c:axId val="181924224"/>
        <c:axId val="182032256"/>
      </c:barChart>
      <c:catAx>
        <c:axId val="181924224"/>
        <c:scaling>
          <c:orientation val="minMax"/>
        </c:scaling>
        <c:axPos val="b"/>
        <c:numFmt formatCode="General" sourceLinked="1"/>
        <c:tickLblPos val="nextTo"/>
        <c:crossAx val="182032256"/>
        <c:crosses val="autoZero"/>
        <c:auto val="1"/>
        <c:lblAlgn val="ctr"/>
        <c:lblOffset val="100"/>
      </c:catAx>
      <c:valAx>
        <c:axId val="182032256"/>
        <c:scaling>
          <c:orientation val="minMax"/>
        </c:scaling>
        <c:axPos val="l"/>
        <c:majorGridlines/>
        <c:numFmt formatCode="#,##0" sourceLinked="1"/>
        <c:tickLblPos val="nextTo"/>
        <c:crossAx val="18192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4869-D8C6-43E9-8C35-44E7102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2019-06-20T09:18:00Z</dcterms:created>
  <dcterms:modified xsi:type="dcterms:W3CDTF">2019-06-20T14:36:00Z</dcterms:modified>
</cp:coreProperties>
</file>