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ekuulzuykzbu" w:id="0"/>
      <w:bookmarkEnd w:id="0"/>
      <w:r w:rsidDel="00000000" w:rsidR="00000000" w:rsidRPr="00000000">
        <w:rPr>
          <w:rtl w:val="0"/>
        </w:rPr>
        <w:t xml:space="preserve">ТЗ по созданию инфографики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Нужно создать инфографику, в которой должны отображены несколько диаграмм различного типа с информацией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Пример на который можно ориентироваться: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https://textmir.com/wp-content/uploads/2018/04/principy-kachestvennogo-dizajna-infografiki-6.jpg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Но инфографика должна визуально восприниматься как уникальная и не ассоциироваться с примером.</w:t>
      </w:r>
      <w:r w:rsidDel="00000000" w:rsidR="00000000" w:rsidRPr="00000000">
        <w:rPr>
          <w:rtl w:val="0"/>
        </w:rPr>
        <w:t xml:space="preserve"> К тому же в примере надписи и  элементы слишком мелкие, нужно чтобы были крупнее и хорошо читались.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4s7qjbnwhyp" w:id="1"/>
      <w:bookmarkEnd w:id="1"/>
      <w:r w:rsidDel="00000000" w:rsidR="00000000" w:rsidRPr="00000000">
        <w:rPr>
          <w:rtl w:val="0"/>
        </w:rPr>
        <w:t xml:space="preserve">Основные требования: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Размер: 1283 × </w:t>
      </w:r>
      <w:r w:rsidDel="00000000" w:rsidR="00000000" w:rsidRPr="00000000">
        <w:rPr>
          <w:rtl w:val="0"/>
        </w:rPr>
        <w:t xml:space="preserve">2000. Инфографика должна иметь книжную ориентацию, а не альбомную.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Формат PNG (обязательно также приложить исходники PSD с возможностью редактирования слоёв);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Инфографика должна  хорошо читаема как на десктопе, так и на мобильном устройстве;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Элементы должны быть достаточно большие и легкочитаемые;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Визуальные элементы инфографики должны соответствовать игровой тематике (казино);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инфографику должен быть нанесен логотип: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Размер и прозрачность можно изменить. Главное условие: логотип должно быть хорошо видно, но в то же время он не должен мешать просмотру самой инфографики.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Название инфографики </w:t>
      </w:r>
      <w:r w:rsidDel="00000000" w:rsidR="00000000" w:rsidRPr="00000000">
        <w:rPr>
          <w:rtl w:val="0"/>
        </w:rPr>
        <w:t xml:space="preserve">(находится в верхней части инфографики, крупным шрифтом): “Русскоязычный сегмент онлайн-казино в цифрах”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Текст</w:t>
      </w:r>
      <w:r w:rsidDel="00000000" w:rsidR="00000000" w:rsidRPr="00000000">
        <w:rPr>
          <w:rtl w:val="0"/>
        </w:rPr>
        <w:t xml:space="preserve"> под названием инфографики более мелким шрифтом: “Специалисты портала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Zarabativaem.com собрали для вас статистику развития гэмблинг-индустрии в России за последние годы и отметили наиболее интересные факты”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Должна иметься возможность редактирования в исходниках названия инфографики и текста.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ss6cg7esjg9g" w:id="2"/>
      <w:bookmarkEnd w:id="2"/>
      <w:r w:rsidDel="00000000" w:rsidR="00000000" w:rsidRPr="00000000">
        <w:rPr>
          <w:rtl w:val="0"/>
        </w:rPr>
        <w:t xml:space="preserve">Диаграммы, которые должны быть на инфографике: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Гистограмма (столбчатая) диаграмма.</w:t>
      </w:r>
      <w:r w:rsidDel="00000000" w:rsidR="00000000" w:rsidRPr="00000000">
        <w:rPr>
          <w:rtl w:val="0"/>
        </w:rPr>
        <w:t xml:space="preserve"> Столбцы в диаграмме должны быть в форме стопок фишек.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Название: “Динамика количества игроков в онлайн-казино”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Столбцы в диаграмме должны быть в форме стопок фишек.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Информация для формирования диаграммы: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2014 год - 7,3 млн игроков;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2015 год - 7,5 млн игроков;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2016 год - 8,1 млн игроков;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2017 год - 8,3 млн игроков;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2018 год - 8,7 млн игроков;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2019 год - 9,0 млн игроков.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Текстовая информация к диаграмме: “Статистика свидетельствует о стабильном росте количества гэмблеров в интернете из года в год”. </w:t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Гистограмма (столбчатая) диаграмма.</w:t>
      </w:r>
      <w:r w:rsidDel="00000000" w:rsidR="00000000" w:rsidRPr="00000000">
        <w:rPr>
          <w:rtl w:val="0"/>
        </w:rPr>
        <w:t xml:space="preserve"> Столбцы в диаграмме должны быть в форме стопок фишек.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Название: “Динамика количества онлайн-казино в рунете”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Информация для формирования диаграммы: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2014 год - 1,1 тыс;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2015 год - 1,3 тыс;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2016 год - 1,4 тыс;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2017 год - 1,5 тыс;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2018 год - 1,9 тыс;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2019 год - 2,1 тыс.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Текстовая информация к диаграмме: “За шесть лет количество онлайн-казино в рунете выросло почти в 2 раза”.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Круговая диаграмма в форме рулетки.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Название: “Распределение гэмблеров по возрасту в 2020 году”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Информация для формирования диаграммы: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до 20 лет - 10%;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21 - 30 лет - 35%;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31 - 40 лет - 29%;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41 - 50 лет - 15%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больше 50 лет - 11%.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Текстовая информация к диаграмме: “Статистика свидетельствует, что наиболее активными геймерами, являются лица в возрастной группе от 21 до 30 лет”. </w:t>
      </w:r>
    </w:p>
    <w:p w:rsidR="00000000" w:rsidDel="00000000" w:rsidP="00000000" w:rsidRDefault="00000000" w:rsidRPr="00000000" w14:paraId="0000003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Гистограмма (столбчатая) диаграмма. </w:t>
      </w:r>
      <w:r w:rsidDel="00000000" w:rsidR="00000000" w:rsidRPr="00000000">
        <w:rPr>
          <w:rtl w:val="0"/>
        </w:rPr>
        <w:t xml:space="preserve">Столбцы в диаграмме должны быть в форме карты. Столбец для мужчин - пиковый король, столбец для женщин - дама червей.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Название: “Распределение игроков по полу в 2020 году”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Информация для формирования диаграммы: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мужчины - 72%;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женщины - 28%.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Текстовая информация к диаграмме: “Среди геймеров традиционно больше мужчин, чем женщин”. 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Диаграмма в виде графика.</w:t>
      </w:r>
      <w:r w:rsidDel="00000000" w:rsidR="00000000" w:rsidRPr="00000000">
        <w:rPr>
          <w:rtl w:val="0"/>
        </w:rPr>
        <w:t xml:space="preserve"> Вершины графика отмечены казиношными фишками. 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Название: “Динамика объема оборота денежных средств гемблинг-индустрии в рунете за последние 6 лет”.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Информация для формирования диаграммы: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2014 год - 21 млрд руб;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2015 год - 45 млрд руб;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2016 год - 54 млрд руб;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2017 год - 59 млрд руб;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2018 год - 63 млрд руб;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2019 год - 68 млрд руб.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Текстовая информация к диаграмме: “За последние шесть лет оборот денежных средств в индустрии гэмблинга в рунете вырос более чем в 3 раза”.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Диаграмма в виде графика.</w:t>
      </w:r>
      <w:r w:rsidDel="00000000" w:rsidR="00000000" w:rsidRPr="00000000">
        <w:rPr>
          <w:rtl w:val="0"/>
        </w:rPr>
        <w:t xml:space="preserve"> Вершины графика отмечены казиношными фишками. 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Название: “Общий объем выигрышей в онлайн-казино рунета за последние 6 лет”.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Информация для формирования диаграммы: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2014 год - 13 млрд руб;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2015 год - 24 млрд руб;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2016 год - 29 млрд руб;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2017 год - 34 млрд руб;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2018 год - 37 млрд руб;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2019 год - 43 млрд руб.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Текстовая информация к диаграмме: “За последние шесть лет общий объем выигрышей в онлайн-казино рунета вырос более чем в 3,5 раза и составил около 43 млрд рублей в год”. 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Горизонтальная диаграмма</w:t>
      </w:r>
      <w:r w:rsidDel="00000000" w:rsidR="00000000" w:rsidRPr="00000000">
        <w:rPr>
          <w:rtl w:val="0"/>
        </w:rPr>
        <w:t xml:space="preserve"> примерно такого типа: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http://joxi.ru/vAWQ0N0tq9doym</w:t>
        </w:r>
      </w:hyperlink>
      <w:r w:rsidDel="00000000" w:rsidR="00000000" w:rsidRPr="00000000">
        <w:rPr>
          <w:rtl w:val="0"/>
        </w:rPr>
        <w:t xml:space="preserve"> на одном конце диаграммы иконка мобильного телефона, на другом конце диаграммы иконка компьютера.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Название: “Распределение игроков по используемому устройству в 2020 году”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Информация для формирования диаграммы: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Мобильное устройство - 53%;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Персональный компьютер/ноутбук - 47%.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  <w:t xml:space="preserve">Текстовая информация к диаграмме: “Ещё совсем недавно большинство гемблеров играли в онлайн-казино через компьютеры или ноутбуки. Но общие тенденции в развитии технологий отразились и на индустрии гэмблинга. Теперь большинство игроков используют планшеты, смартфоны и другие мобильные устройства”.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Вложенная инфографика.</w:t>
      </w:r>
      <w:r w:rsidDel="00000000" w:rsidR="00000000" w:rsidRPr="00000000">
        <w:rPr>
          <w:rtl w:val="0"/>
        </w:rPr>
        <w:t xml:space="preserve"> Размещаем в самом центре основной инфографики. Представляет собой игровое поле с размещенными на нем фишками. Цвет фишек как в стандартном номинале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http://joxi.ru/L21dDV8ig11L4m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Вверху поля по горизонтали идут названия автоматов. В левой части поля по вертикали идут года: с 2016 по 2020 (вверху 2020 и вниз от новых к старым). На самом игровом поле на пересечении годов и названий автоматов фишками отмечаем самые крупные выигрыши.</w:t>
      </w:r>
      <w:r w:rsidDel="00000000" w:rsidR="00000000" w:rsidRPr="00000000">
        <w:rPr>
          <w:rtl w:val="0"/>
        </w:rPr>
        <w:t xml:space="preserve"> Чем больше выигрыш, тем больше размер фишки. Величина выигрыша в цифрах указывается внутри фишки.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  <w:t xml:space="preserve">Название: “Самые крупные выигрыши джекпотов в онлайн-казино рунета за последние 5 лет”.</w:t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  <w:t xml:space="preserve">Информация для формирования инфографики: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82.9359176256817"/>
        <w:gridCol w:w="1569.0505148394914"/>
        <w:gridCol w:w="1527.394306480921"/>
        <w:gridCol w:w="1457.96729254997"/>
        <w:gridCol w:w="1485.7380981223503"/>
        <w:gridCol w:w="1402.4256814052092"/>
        <w:tblGridChange w:id="0">
          <w:tblGrid>
            <w:gridCol w:w="1582.9359176256817"/>
            <w:gridCol w:w="1569.0505148394914"/>
            <w:gridCol w:w="1527.394306480921"/>
            <w:gridCol w:w="1457.96729254997"/>
            <w:gridCol w:w="1485.7380981223503"/>
            <w:gridCol w:w="1402.4256814052092"/>
          </w:tblGrid>
        </w:tblGridChange>
      </w:tblGrid>
      <w:tr>
        <w:trPr>
          <w:trHeight w:val="7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Mega Moolah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Book of Dead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Dark Knight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Mega Fortune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Hall of Gods</w:t>
            </w:r>
          </w:p>
        </w:tc>
      </w:tr>
      <w:tr>
        <w:trPr>
          <w:trHeight w:val="114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2020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15,2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14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2019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4,1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8,0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14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2018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9,3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6,2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5,4 млн. руб</w:t>
            </w:r>
          </w:p>
        </w:tc>
      </w:tr>
      <w:tr>
        <w:trPr>
          <w:trHeight w:val="114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2017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7,3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24,0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14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2016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17.2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5,5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8,73 млн руб</w:t>
            </w:r>
          </w:p>
        </w:tc>
      </w:tr>
      <w:tr>
        <w:trPr>
          <w:trHeight w:val="114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2015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11,3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14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2014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9,5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17,6 млн руб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1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joxi.ru/L21dDV8ig11L4m" TargetMode="External"/><Relationship Id="rId9" Type="http://schemas.openxmlformats.org/officeDocument/2006/relationships/hyperlink" Target="http://joxi.ru/L21dDV8ig11L4m" TargetMode="External"/><Relationship Id="rId5" Type="http://schemas.openxmlformats.org/officeDocument/2006/relationships/styles" Target="styles.xml"/><Relationship Id="rId6" Type="http://schemas.openxmlformats.org/officeDocument/2006/relationships/hyperlink" Target="https://textmir.com/wp-content/uploads/2018/04/principy-kachestvennogo-dizajna-infografiki-6.jpg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joxi.ru/vAWQ0N0tq9do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