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3A" w:rsidRPr="002C100E" w:rsidRDefault="0069553A">
      <w:pPr>
        <w:rPr>
          <w:rFonts w:ascii="Arial" w:hAnsi="Arial" w:cs="Arial"/>
          <w:sz w:val="20"/>
          <w:szCs w:val="20"/>
          <w:u w:val="single"/>
          <w:lang w:val="ru-RU"/>
        </w:rPr>
      </w:pPr>
      <w:r w:rsidRPr="002C100E">
        <w:rPr>
          <w:rFonts w:ascii="Arial" w:hAnsi="Arial" w:cs="Arial"/>
          <w:sz w:val="20"/>
          <w:szCs w:val="20"/>
          <w:u w:val="single"/>
          <w:lang w:val="ru-RU"/>
        </w:rPr>
        <w:t>Инструкция</w:t>
      </w:r>
    </w:p>
    <w:p w:rsidR="00C65A86" w:rsidRPr="002C100E" w:rsidRDefault="002904A0" w:rsidP="00B72525">
      <w:pPr>
        <w:shd w:val="clear" w:color="auto" w:fill="FFFFFF" w:themeFill="background1"/>
        <w:rPr>
          <w:rFonts w:ascii="Arial" w:hAnsi="Arial" w:cs="Arial"/>
          <w:sz w:val="20"/>
          <w:szCs w:val="20"/>
          <w:lang w:val="ru-RU"/>
        </w:rPr>
      </w:pPr>
      <w:r w:rsidRPr="002C100E">
        <w:rPr>
          <w:rFonts w:ascii="Arial" w:hAnsi="Arial" w:cs="Arial"/>
          <w:sz w:val="20"/>
          <w:szCs w:val="20"/>
          <w:lang w:val="ru-RU"/>
        </w:rPr>
        <w:t xml:space="preserve">Заполните </w:t>
      </w:r>
      <w:r w:rsidR="003F09BF" w:rsidRPr="002C100E">
        <w:rPr>
          <w:rFonts w:ascii="Arial" w:hAnsi="Arial" w:cs="Arial"/>
          <w:sz w:val="20"/>
          <w:szCs w:val="20"/>
          <w:lang w:val="ru-RU"/>
        </w:rPr>
        <w:t xml:space="preserve">короткую </w:t>
      </w:r>
      <w:r w:rsidRPr="002C100E">
        <w:rPr>
          <w:rFonts w:ascii="Arial" w:hAnsi="Arial" w:cs="Arial"/>
          <w:sz w:val="20"/>
          <w:szCs w:val="20"/>
          <w:lang w:val="ru-RU"/>
        </w:rPr>
        <w:t xml:space="preserve">анкету и </w:t>
      </w:r>
      <w:r w:rsidR="0077413E">
        <w:rPr>
          <w:rFonts w:ascii="Arial" w:hAnsi="Arial" w:cs="Arial"/>
          <w:sz w:val="20"/>
          <w:szCs w:val="20"/>
          <w:lang w:val="ru-RU"/>
        </w:rPr>
        <w:t xml:space="preserve">полностью </w:t>
      </w:r>
      <w:r w:rsidRPr="002C100E">
        <w:rPr>
          <w:rFonts w:ascii="Arial" w:hAnsi="Arial" w:cs="Arial"/>
          <w:sz w:val="20"/>
          <w:szCs w:val="20"/>
          <w:lang w:val="ru-RU"/>
        </w:rPr>
        <w:t>переведите текст</w:t>
      </w:r>
      <w:r w:rsidR="00B72525">
        <w:rPr>
          <w:rFonts w:ascii="Arial" w:hAnsi="Arial" w:cs="Arial"/>
          <w:sz w:val="20"/>
          <w:szCs w:val="20"/>
          <w:lang w:val="en-US"/>
        </w:rPr>
        <w:t xml:space="preserve"> </w:t>
      </w:r>
      <w:r w:rsidR="00B72525">
        <w:rPr>
          <w:rFonts w:ascii="Arial" w:hAnsi="Arial" w:cs="Arial"/>
          <w:sz w:val="20"/>
          <w:szCs w:val="20"/>
          <w:lang w:val="ru-RU"/>
        </w:rPr>
        <w:t>ниже</w:t>
      </w:r>
      <w:r w:rsidRPr="002C100E">
        <w:rPr>
          <w:rFonts w:ascii="Arial" w:hAnsi="Arial" w:cs="Arial"/>
          <w:sz w:val="20"/>
          <w:szCs w:val="20"/>
          <w:lang w:val="ru-RU"/>
        </w:rPr>
        <w:t xml:space="preserve">, вводя перевод в столбец </w:t>
      </w:r>
      <w:r w:rsidRPr="00046564">
        <w:rPr>
          <w:rFonts w:ascii="Arial" w:hAnsi="Arial" w:cs="Arial"/>
          <w:b/>
          <w:sz w:val="20"/>
          <w:szCs w:val="20"/>
          <w:lang w:val="en-US"/>
        </w:rPr>
        <w:t>RU</w:t>
      </w:r>
      <w:r w:rsidRPr="002C100E">
        <w:rPr>
          <w:rFonts w:ascii="Arial" w:hAnsi="Arial" w:cs="Arial"/>
          <w:sz w:val="20"/>
          <w:szCs w:val="20"/>
          <w:lang w:val="ru-RU"/>
        </w:rPr>
        <w:t xml:space="preserve">. </w:t>
      </w:r>
      <w:r w:rsidR="002347BB" w:rsidRPr="002C100E">
        <w:rPr>
          <w:rFonts w:ascii="Arial" w:hAnsi="Arial" w:cs="Arial"/>
          <w:sz w:val="20"/>
          <w:szCs w:val="20"/>
          <w:lang w:val="ru-RU"/>
        </w:rPr>
        <w:t xml:space="preserve">Текст, выделенный </w:t>
      </w:r>
      <w:r w:rsidR="002347BB" w:rsidRPr="002C100E">
        <w:rPr>
          <w:rFonts w:ascii="Arial" w:hAnsi="Arial" w:cs="Arial"/>
          <w:sz w:val="20"/>
          <w:szCs w:val="20"/>
          <w:highlight w:val="yellow"/>
          <w:lang w:val="ru-RU"/>
        </w:rPr>
        <w:t>желтым</w:t>
      </w:r>
      <w:r w:rsidR="002347BB" w:rsidRPr="00B72525">
        <w:rPr>
          <w:rFonts w:ascii="Arial" w:hAnsi="Arial" w:cs="Arial"/>
          <w:sz w:val="20"/>
          <w:szCs w:val="20"/>
          <w:highlight w:val="yellow"/>
          <w:lang w:val="ru-RU"/>
        </w:rPr>
        <w:t xml:space="preserve"> </w:t>
      </w:r>
      <w:r w:rsidR="002347BB" w:rsidRPr="002C100E">
        <w:rPr>
          <w:rFonts w:ascii="Arial" w:hAnsi="Arial" w:cs="Arial"/>
          <w:sz w:val="20"/>
          <w:szCs w:val="20"/>
          <w:highlight w:val="yellow"/>
          <w:lang w:val="ru-RU"/>
        </w:rPr>
        <w:t>цветом</w:t>
      </w:r>
      <w:r w:rsidR="002347BB" w:rsidRPr="002C100E">
        <w:rPr>
          <w:rFonts w:ascii="Arial" w:hAnsi="Arial" w:cs="Arial"/>
          <w:sz w:val="20"/>
          <w:szCs w:val="20"/>
          <w:lang w:val="ru-RU"/>
        </w:rPr>
        <w:t>, можно ост</w:t>
      </w:r>
      <w:bookmarkStart w:id="0" w:name="_GoBack"/>
      <w:bookmarkEnd w:id="0"/>
      <w:r w:rsidR="002347BB" w:rsidRPr="002C100E">
        <w:rPr>
          <w:rFonts w:ascii="Arial" w:hAnsi="Arial" w:cs="Arial"/>
          <w:sz w:val="20"/>
          <w:szCs w:val="20"/>
          <w:lang w:val="ru-RU"/>
        </w:rPr>
        <w:t xml:space="preserve">авить без перевода. </w:t>
      </w:r>
      <w:r w:rsidR="002347BB" w:rsidRPr="002C100E">
        <w:rPr>
          <w:rFonts w:ascii="Arial" w:hAnsi="Arial" w:cs="Arial"/>
          <w:sz w:val="20"/>
          <w:szCs w:val="20"/>
          <w:lang w:val="ru-RU"/>
        </w:rPr>
        <w:br/>
      </w:r>
      <w:r w:rsidRPr="002C100E">
        <w:rPr>
          <w:rFonts w:ascii="Arial" w:hAnsi="Arial" w:cs="Arial"/>
          <w:sz w:val="20"/>
          <w:szCs w:val="20"/>
          <w:lang w:val="ru-RU"/>
        </w:rPr>
        <w:t>Перед отправкой файла пе</w:t>
      </w:r>
      <w:r w:rsidRPr="00B72525">
        <w:rPr>
          <w:rFonts w:ascii="Arial" w:hAnsi="Arial" w:cs="Arial"/>
          <w:sz w:val="20"/>
          <w:szCs w:val="20"/>
          <w:lang w:val="ru-RU"/>
        </w:rPr>
        <w:t>реи</w:t>
      </w:r>
      <w:r w:rsidRPr="00B72525">
        <w:rPr>
          <w:rFonts w:ascii="Arial" w:hAnsi="Arial" w:cs="Arial"/>
          <w:sz w:val="20"/>
          <w:szCs w:val="20"/>
          <w:shd w:val="clear" w:color="auto" w:fill="FFFFFF" w:themeFill="background1"/>
          <w:lang w:val="ru-RU"/>
        </w:rPr>
        <w:t>менуйт</w:t>
      </w:r>
      <w:r w:rsidRPr="00B72525">
        <w:rPr>
          <w:rFonts w:ascii="Arial" w:hAnsi="Arial" w:cs="Arial"/>
          <w:sz w:val="20"/>
          <w:szCs w:val="20"/>
          <w:lang w:val="ru-RU"/>
        </w:rPr>
        <w:t>е</w:t>
      </w:r>
      <w:r w:rsidRPr="002C100E">
        <w:rPr>
          <w:rFonts w:ascii="Arial" w:hAnsi="Arial" w:cs="Arial"/>
          <w:sz w:val="20"/>
          <w:szCs w:val="20"/>
          <w:lang w:val="ru-RU"/>
        </w:rPr>
        <w:t xml:space="preserve"> его, добавив к имени</w:t>
      </w:r>
      <w:r w:rsidR="0069553A" w:rsidRPr="002C100E">
        <w:rPr>
          <w:rFonts w:ascii="Arial" w:hAnsi="Arial" w:cs="Arial"/>
          <w:sz w:val="20"/>
          <w:szCs w:val="20"/>
          <w:lang w:val="ru-RU"/>
        </w:rPr>
        <w:t xml:space="preserve"> файла</w:t>
      </w:r>
      <w:r w:rsidRPr="002C100E">
        <w:rPr>
          <w:rFonts w:ascii="Arial" w:hAnsi="Arial" w:cs="Arial"/>
          <w:sz w:val="20"/>
          <w:szCs w:val="20"/>
          <w:lang w:val="ru-RU"/>
        </w:rPr>
        <w:t xml:space="preserve"> свою фамилию латиницей. Например: </w:t>
      </w:r>
      <w:proofErr w:type="spellStart"/>
      <w:r w:rsidR="00B72525" w:rsidRPr="00B72525">
        <w:rPr>
          <w:rFonts w:ascii="Arial" w:hAnsi="Arial" w:cs="Arial"/>
          <w:i/>
          <w:sz w:val="20"/>
          <w:szCs w:val="20"/>
          <w:lang w:val="en-US"/>
        </w:rPr>
        <w:t>Neotech_Ethylene_Test_Translation</w:t>
      </w:r>
      <w:r w:rsidR="00F91C66">
        <w:rPr>
          <w:rFonts w:ascii="Arial" w:hAnsi="Arial" w:cs="Arial"/>
          <w:i/>
          <w:sz w:val="20"/>
          <w:szCs w:val="20"/>
          <w:lang w:val="en-US"/>
        </w:rPr>
        <w:t>_Ivanova</w:t>
      </w:r>
      <w:proofErr w:type="spellEnd"/>
      <w:r w:rsidRPr="002C100E">
        <w:rPr>
          <w:rFonts w:ascii="Arial" w:hAnsi="Arial" w:cs="Arial"/>
          <w:i/>
          <w:sz w:val="20"/>
          <w:szCs w:val="20"/>
          <w:lang w:val="ru-RU"/>
        </w:rPr>
        <w:t>.</w:t>
      </w:r>
      <w:proofErr w:type="spellStart"/>
      <w:r w:rsidRPr="002C100E">
        <w:rPr>
          <w:rFonts w:ascii="Arial" w:hAnsi="Arial" w:cs="Arial"/>
          <w:i/>
          <w:sz w:val="20"/>
          <w:szCs w:val="20"/>
          <w:lang w:val="en-US"/>
        </w:rPr>
        <w:t>docx</w:t>
      </w:r>
      <w:proofErr w:type="spellEnd"/>
    </w:p>
    <w:p w:rsidR="00FF2932" w:rsidRPr="002C100E" w:rsidRDefault="00FF2932">
      <w:pPr>
        <w:rPr>
          <w:rFonts w:ascii="Arial" w:hAnsi="Arial" w:cs="Arial"/>
          <w:sz w:val="20"/>
          <w:szCs w:val="20"/>
          <w:u w:val="single"/>
          <w:lang w:val="ru-RU"/>
        </w:rPr>
      </w:pPr>
      <w:r w:rsidRPr="002C100E">
        <w:rPr>
          <w:rFonts w:ascii="Arial" w:hAnsi="Arial" w:cs="Arial"/>
          <w:sz w:val="20"/>
          <w:szCs w:val="20"/>
          <w:u w:val="single"/>
          <w:lang w:val="ru-RU"/>
        </w:rPr>
        <w:t>Анкета</w:t>
      </w:r>
    </w:p>
    <w:tbl>
      <w:tblPr>
        <w:tblStyle w:val="a3"/>
        <w:tblW w:w="10789" w:type="dxa"/>
        <w:tblLook w:val="04A0" w:firstRow="1" w:lastRow="0" w:firstColumn="1" w:lastColumn="0" w:noHBand="0" w:noVBand="1"/>
      </w:tblPr>
      <w:tblGrid>
        <w:gridCol w:w="4621"/>
        <w:gridCol w:w="5664"/>
        <w:gridCol w:w="504"/>
      </w:tblGrid>
      <w:tr w:rsidR="00FF2932" w:rsidRPr="002C100E" w:rsidTr="002C100E">
        <w:tc>
          <w:tcPr>
            <w:tcW w:w="4621" w:type="dxa"/>
          </w:tcPr>
          <w:p w:rsidR="00FF2932" w:rsidRPr="002C100E" w:rsidRDefault="00FF2932" w:rsidP="00FF2932">
            <w:pPr>
              <w:rPr>
                <w:rFonts w:ascii="Arial" w:hAnsi="Arial" w:cs="Arial"/>
                <w:sz w:val="20"/>
                <w:szCs w:val="20"/>
                <w:lang w:val="ru-RU"/>
              </w:rPr>
            </w:pPr>
            <w:r w:rsidRPr="002C100E">
              <w:rPr>
                <w:rFonts w:ascii="Arial" w:hAnsi="Arial" w:cs="Arial"/>
                <w:sz w:val="20"/>
                <w:szCs w:val="20"/>
                <w:lang w:val="ru-RU"/>
              </w:rPr>
              <w:t>Фамилия, имя</w:t>
            </w:r>
          </w:p>
        </w:tc>
        <w:tc>
          <w:tcPr>
            <w:tcW w:w="6168" w:type="dxa"/>
            <w:gridSpan w:val="2"/>
          </w:tcPr>
          <w:p w:rsidR="00FF2932" w:rsidRPr="002C100E" w:rsidRDefault="00FF2932">
            <w:pPr>
              <w:rPr>
                <w:rFonts w:ascii="Arial" w:hAnsi="Arial" w:cs="Arial"/>
                <w:sz w:val="20"/>
                <w:szCs w:val="20"/>
                <w:lang w:val="ru-RU"/>
              </w:rPr>
            </w:pPr>
          </w:p>
        </w:tc>
      </w:tr>
      <w:tr w:rsidR="006056BE" w:rsidRPr="002C100E" w:rsidTr="002C100E">
        <w:tc>
          <w:tcPr>
            <w:tcW w:w="4621" w:type="dxa"/>
          </w:tcPr>
          <w:p w:rsidR="006056BE" w:rsidRPr="002C100E" w:rsidRDefault="006056BE" w:rsidP="00FF2932">
            <w:pPr>
              <w:rPr>
                <w:rFonts w:ascii="Arial" w:hAnsi="Arial" w:cs="Arial"/>
                <w:sz w:val="20"/>
                <w:szCs w:val="20"/>
                <w:lang w:val="ru-RU"/>
              </w:rPr>
            </w:pPr>
            <w:r w:rsidRPr="002C100E">
              <w:rPr>
                <w:rFonts w:ascii="Arial" w:hAnsi="Arial" w:cs="Arial"/>
                <w:sz w:val="20"/>
                <w:szCs w:val="20"/>
                <w:lang w:val="ru-RU"/>
              </w:rPr>
              <w:t>Адрес эл. почты</w:t>
            </w:r>
          </w:p>
        </w:tc>
        <w:tc>
          <w:tcPr>
            <w:tcW w:w="6168" w:type="dxa"/>
            <w:gridSpan w:val="2"/>
          </w:tcPr>
          <w:p w:rsidR="006056BE" w:rsidRPr="002C100E" w:rsidRDefault="006056BE">
            <w:pPr>
              <w:rPr>
                <w:rFonts w:ascii="Arial" w:hAnsi="Arial" w:cs="Arial"/>
                <w:sz w:val="20"/>
                <w:szCs w:val="20"/>
                <w:lang w:val="ru-RU"/>
              </w:rPr>
            </w:pPr>
          </w:p>
        </w:tc>
      </w:tr>
      <w:tr w:rsidR="00B72525" w:rsidRPr="002C100E" w:rsidTr="002C100E">
        <w:trPr>
          <w:trHeight w:val="301"/>
        </w:trPr>
        <w:tc>
          <w:tcPr>
            <w:tcW w:w="4621" w:type="dxa"/>
            <w:vMerge w:val="restart"/>
          </w:tcPr>
          <w:p w:rsidR="00B72525" w:rsidRPr="002C100E" w:rsidRDefault="00B72525" w:rsidP="0069553A">
            <w:pPr>
              <w:rPr>
                <w:rFonts w:ascii="Arial" w:hAnsi="Arial" w:cs="Arial"/>
                <w:sz w:val="20"/>
                <w:szCs w:val="20"/>
                <w:lang w:val="ru-RU"/>
              </w:rPr>
            </w:pPr>
            <w:r w:rsidRPr="002C100E">
              <w:rPr>
                <w:rFonts w:ascii="Arial" w:hAnsi="Arial" w:cs="Arial"/>
                <w:sz w:val="20"/>
                <w:szCs w:val="20"/>
                <w:lang w:val="ru-RU"/>
              </w:rPr>
              <w:t xml:space="preserve">В крайнем правом столбце отметьте плюсом или любым другим знаком тематики, с которыми Вы знакомы. Информация из анкеты не влияет на оценку тестового перевода и собирается исключительно для упрощения дальнейшего взаимодействия в рамках проекта. </w:t>
            </w:r>
          </w:p>
        </w:tc>
        <w:tc>
          <w:tcPr>
            <w:tcW w:w="5664" w:type="dxa"/>
          </w:tcPr>
          <w:p w:rsidR="00B72525" w:rsidRPr="002C100E" w:rsidRDefault="00B72525" w:rsidP="00FF2932">
            <w:pPr>
              <w:rPr>
                <w:rFonts w:ascii="Arial" w:hAnsi="Arial" w:cs="Arial"/>
                <w:sz w:val="20"/>
                <w:szCs w:val="20"/>
                <w:lang w:val="ru-RU"/>
              </w:rPr>
            </w:pPr>
            <w:r w:rsidRPr="002C100E">
              <w:rPr>
                <w:rFonts w:ascii="Arial" w:hAnsi="Arial" w:cs="Arial"/>
                <w:sz w:val="20"/>
                <w:szCs w:val="20"/>
                <w:lang w:val="ru-RU"/>
              </w:rPr>
              <w:t>Аппараты химических производств (материалы, сборка, сварка, монтаж)</w:t>
            </w:r>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FF2932">
            <w:pPr>
              <w:rPr>
                <w:rFonts w:ascii="Arial" w:hAnsi="Arial" w:cs="Arial"/>
                <w:sz w:val="20"/>
                <w:szCs w:val="20"/>
                <w:lang w:val="ru-RU"/>
              </w:rPr>
            </w:pPr>
            <w:r w:rsidRPr="002C100E">
              <w:rPr>
                <w:rFonts w:ascii="Arial" w:hAnsi="Arial" w:cs="Arial"/>
                <w:sz w:val="20"/>
                <w:szCs w:val="20"/>
                <w:lang w:val="ru-RU"/>
              </w:rPr>
              <w:t>Промышленное получение этилена</w:t>
            </w:r>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7B123A">
            <w:pPr>
              <w:rPr>
                <w:rFonts w:ascii="Arial" w:hAnsi="Arial" w:cs="Arial"/>
                <w:sz w:val="20"/>
                <w:szCs w:val="20"/>
                <w:lang w:val="ru-RU"/>
              </w:rPr>
            </w:pPr>
            <w:proofErr w:type="spellStart"/>
            <w:r w:rsidRPr="002C100E">
              <w:rPr>
                <w:rFonts w:ascii="Arial" w:hAnsi="Arial" w:cs="Arial"/>
                <w:sz w:val="20"/>
                <w:szCs w:val="20"/>
                <w:lang w:val="ru-RU"/>
              </w:rPr>
              <w:t>КИПиА</w:t>
            </w:r>
            <w:proofErr w:type="spellEnd"/>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68743E">
            <w:pPr>
              <w:rPr>
                <w:rFonts w:ascii="Arial" w:hAnsi="Arial" w:cs="Arial"/>
                <w:sz w:val="20"/>
                <w:szCs w:val="20"/>
                <w:lang w:val="ru-RU"/>
              </w:rPr>
            </w:pPr>
            <w:r w:rsidRPr="002C100E">
              <w:rPr>
                <w:rFonts w:ascii="Arial" w:hAnsi="Arial" w:cs="Arial"/>
                <w:sz w:val="20"/>
                <w:szCs w:val="20"/>
                <w:lang w:val="ru-RU"/>
              </w:rPr>
              <w:t>Технологические коммуникации химической промышленности</w:t>
            </w:r>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7B123A">
            <w:pPr>
              <w:rPr>
                <w:rFonts w:ascii="Arial" w:hAnsi="Arial" w:cs="Arial"/>
                <w:sz w:val="20"/>
                <w:szCs w:val="20"/>
                <w:lang w:val="ru-RU"/>
              </w:rPr>
            </w:pPr>
            <w:r w:rsidRPr="002C100E">
              <w:rPr>
                <w:rFonts w:ascii="Arial" w:hAnsi="Arial" w:cs="Arial"/>
                <w:sz w:val="20"/>
                <w:szCs w:val="20"/>
                <w:lang w:val="ru-RU"/>
              </w:rPr>
              <w:t>Промышленное электрооборудование</w:t>
            </w:r>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7B123A">
            <w:pPr>
              <w:rPr>
                <w:rFonts w:ascii="Arial" w:hAnsi="Arial" w:cs="Arial"/>
                <w:sz w:val="20"/>
                <w:szCs w:val="20"/>
                <w:lang w:val="ru-RU"/>
              </w:rPr>
            </w:pPr>
            <w:proofErr w:type="spellStart"/>
            <w:r w:rsidRPr="002C100E">
              <w:rPr>
                <w:rFonts w:ascii="Arial" w:hAnsi="Arial" w:cs="Arial"/>
                <w:sz w:val="20"/>
                <w:szCs w:val="20"/>
                <w:lang w:val="ru-RU"/>
              </w:rPr>
              <w:t>АСУТП</w:t>
            </w:r>
            <w:proofErr w:type="spellEnd"/>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7B123A">
            <w:pPr>
              <w:rPr>
                <w:rFonts w:ascii="Arial" w:hAnsi="Arial" w:cs="Arial"/>
                <w:sz w:val="20"/>
                <w:szCs w:val="20"/>
                <w:lang w:val="ru-RU"/>
              </w:rPr>
            </w:pPr>
            <w:r w:rsidRPr="002C100E">
              <w:rPr>
                <w:rFonts w:ascii="Arial" w:hAnsi="Arial" w:cs="Arial"/>
                <w:sz w:val="20"/>
                <w:szCs w:val="20"/>
                <w:lang w:val="ru-RU"/>
              </w:rPr>
              <w:t>Гражданское строительство</w:t>
            </w:r>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7B123A">
            <w:pPr>
              <w:rPr>
                <w:rFonts w:ascii="Arial" w:hAnsi="Arial" w:cs="Arial"/>
                <w:sz w:val="20"/>
                <w:szCs w:val="20"/>
                <w:lang w:val="ru-RU"/>
              </w:rPr>
            </w:pPr>
            <w:r w:rsidRPr="002C100E">
              <w:rPr>
                <w:rFonts w:ascii="Arial" w:hAnsi="Arial" w:cs="Arial"/>
                <w:sz w:val="20"/>
                <w:szCs w:val="20"/>
                <w:lang w:val="ru-RU"/>
              </w:rPr>
              <w:t>Обеспечение экологической безопасности химических производств</w:t>
            </w:r>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CB2B37">
            <w:pPr>
              <w:rPr>
                <w:rFonts w:ascii="Arial" w:hAnsi="Arial" w:cs="Arial"/>
                <w:sz w:val="20"/>
                <w:szCs w:val="20"/>
                <w:lang w:val="ru-RU"/>
              </w:rPr>
            </w:pPr>
            <w:r w:rsidRPr="002C100E">
              <w:rPr>
                <w:rFonts w:ascii="Arial" w:hAnsi="Arial" w:cs="Arial"/>
                <w:sz w:val="20"/>
                <w:szCs w:val="20"/>
                <w:lang w:val="ru-RU"/>
              </w:rPr>
              <w:t>Обеспечение пожарной безопасности химических производств</w:t>
            </w:r>
          </w:p>
        </w:tc>
        <w:tc>
          <w:tcPr>
            <w:tcW w:w="504" w:type="dxa"/>
            <w:vAlign w:val="center"/>
          </w:tcPr>
          <w:p w:rsidR="00B72525" w:rsidRPr="002C100E" w:rsidRDefault="00B72525" w:rsidP="006056BE">
            <w:pPr>
              <w:jc w:val="center"/>
              <w:rPr>
                <w:rFonts w:ascii="Arial" w:hAnsi="Arial" w:cs="Arial"/>
                <w:sz w:val="20"/>
                <w:szCs w:val="20"/>
                <w:lang w:val="ru-RU"/>
              </w:rPr>
            </w:pPr>
          </w:p>
        </w:tc>
      </w:tr>
      <w:tr w:rsidR="00B72525" w:rsidRPr="002C100E" w:rsidTr="002C100E">
        <w:trPr>
          <w:trHeight w:val="297"/>
        </w:trPr>
        <w:tc>
          <w:tcPr>
            <w:tcW w:w="4621" w:type="dxa"/>
            <w:vMerge/>
          </w:tcPr>
          <w:p w:rsidR="00B72525" w:rsidRPr="002C100E" w:rsidRDefault="00B72525" w:rsidP="00FF2932">
            <w:pPr>
              <w:rPr>
                <w:rFonts w:ascii="Arial" w:hAnsi="Arial" w:cs="Arial"/>
                <w:sz w:val="20"/>
                <w:szCs w:val="20"/>
                <w:lang w:val="ru-RU"/>
              </w:rPr>
            </w:pPr>
          </w:p>
        </w:tc>
        <w:tc>
          <w:tcPr>
            <w:tcW w:w="5664" w:type="dxa"/>
          </w:tcPr>
          <w:p w:rsidR="00B72525" w:rsidRPr="002C100E" w:rsidRDefault="00B72525" w:rsidP="007B123A">
            <w:pPr>
              <w:rPr>
                <w:rFonts w:ascii="Arial" w:hAnsi="Arial" w:cs="Arial"/>
                <w:sz w:val="20"/>
                <w:szCs w:val="20"/>
                <w:lang w:val="ru-RU"/>
              </w:rPr>
            </w:pPr>
            <w:r w:rsidRPr="002C100E">
              <w:rPr>
                <w:rFonts w:ascii="Arial" w:hAnsi="Arial" w:cs="Arial"/>
                <w:sz w:val="20"/>
                <w:szCs w:val="20"/>
                <w:lang w:val="ru-RU"/>
              </w:rPr>
              <w:t>Техническая документация на химическую продукцию</w:t>
            </w:r>
          </w:p>
        </w:tc>
        <w:tc>
          <w:tcPr>
            <w:tcW w:w="504" w:type="dxa"/>
            <w:vAlign w:val="center"/>
          </w:tcPr>
          <w:p w:rsidR="00B72525" w:rsidRPr="002C100E" w:rsidRDefault="00B72525" w:rsidP="006056BE">
            <w:pPr>
              <w:jc w:val="center"/>
              <w:rPr>
                <w:rFonts w:ascii="Arial" w:hAnsi="Arial" w:cs="Arial"/>
                <w:sz w:val="20"/>
                <w:szCs w:val="20"/>
                <w:lang w:val="ru-RU"/>
              </w:rPr>
            </w:pPr>
          </w:p>
        </w:tc>
      </w:tr>
    </w:tbl>
    <w:p w:rsidR="003F09BF" w:rsidRPr="002C100E" w:rsidRDefault="003F09BF">
      <w:pPr>
        <w:rPr>
          <w:rFonts w:ascii="Arial" w:hAnsi="Arial" w:cs="Arial"/>
          <w:sz w:val="20"/>
          <w:szCs w:val="20"/>
          <w:lang w:val="ru-RU"/>
        </w:rPr>
      </w:pPr>
    </w:p>
    <w:p w:rsidR="00FF2932" w:rsidRPr="002C100E" w:rsidRDefault="00FF2932">
      <w:pPr>
        <w:rPr>
          <w:rFonts w:ascii="Arial" w:hAnsi="Arial" w:cs="Arial"/>
          <w:sz w:val="20"/>
          <w:szCs w:val="20"/>
          <w:u w:val="single"/>
          <w:lang w:val="ru-RU"/>
        </w:rPr>
      </w:pPr>
      <w:r w:rsidRPr="002C100E">
        <w:rPr>
          <w:rFonts w:ascii="Arial" w:hAnsi="Arial" w:cs="Arial"/>
          <w:sz w:val="20"/>
          <w:szCs w:val="20"/>
          <w:u w:val="single"/>
          <w:lang w:val="ru-RU"/>
        </w:rPr>
        <w:t>Перевод</w:t>
      </w:r>
    </w:p>
    <w:tbl>
      <w:tblPr>
        <w:tblStyle w:val="a3"/>
        <w:tblW w:w="10775" w:type="dxa"/>
        <w:tblLayout w:type="fixed"/>
        <w:tblLook w:val="04A0" w:firstRow="1" w:lastRow="0" w:firstColumn="1" w:lastColumn="0" w:noHBand="0" w:noVBand="1"/>
      </w:tblPr>
      <w:tblGrid>
        <w:gridCol w:w="4306"/>
        <w:gridCol w:w="4307"/>
        <w:gridCol w:w="2162"/>
      </w:tblGrid>
      <w:tr w:rsidR="00D177C0" w:rsidRPr="002C100E" w:rsidTr="008B2837">
        <w:trPr>
          <w:cantSplit/>
        </w:trPr>
        <w:tc>
          <w:tcPr>
            <w:tcW w:w="4306" w:type="dxa"/>
            <w:tcBorders>
              <w:top w:val="single" w:sz="4" w:space="0" w:color="auto"/>
              <w:left w:val="single" w:sz="4" w:space="0" w:color="auto"/>
              <w:bottom w:val="single" w:sz="4" w:space="0" w:color="auto"/>
              <w:right w:val="single" w:sz="4" w:space="0" w:color="auto"/>
            </w:tcBorders>
            <w:hideMark/>
          </w:tcPr>
          <w:p w:rsidR="00D177C0" w:rsidRPr="002C100E" w:rsidRDefault="00D177C0" w:rsidP="00E24DA3">
            <w:pPr>
              <w:spacing w:after="120"/>
              <w:rPr>
                <w:rFonts w:ascii="Arial" w:eastAsia="Times New Roman" w:hAnsi="Arial" w:cs="Arial"/>
                <w:b/>
                <w:bCs/>
                <w:sz w:val="20"/>
                <w:szCs w:val="20"/>
                <w:lang w:val="en-US" w:bidi="he-IL"/>
              </w:rPr>
            </w:pPr>
            <w:r w:rsidRPr="002C100E">
              <w:rPr>
                <w:rFonts w:ascii="Arial" w:hAnsi="Arial" w:cs="Arial"/>
                <w:b/>
                <w:bCs/>
                <w:sz w:val="20"/>
                <w:szCs w:val="20"/>
                <w:lang w:val="en-US" w:bidi="he-IL"/>
              </w:rPr>
              <w:t>EN</w:t>
            </w:r>
          </w:p>
        </w:tc>
        <w:tc>
          <w:tcPr>
            <w:tcW w:w="4307" w:type="dxa"/>
            <w:tcBorders>
              <w:top w:val="single" w:sz="4" w:space="0" w:color="auto"/>
              <w:left w:val="single" w:sz="4" w:space="0" w:color="auto"/>
              <w:bottom w:val="single" w:sz="4" w:space="0" w:color="auto"/>
              <w:right w:val="single" w:sz="4" w:space="0" w:color="auto"/>
            </w:tcBorders>
            <w:hideMark/>
          </w:tcPr>
          <w:p w:rsidR="00D177C0" w:rsidRPr="002C100E" w:rsidRDefault="00D177C0" w:rsidP="00E24DA3">
            <w:pPr>
              <w:spacing w:after="120"/>
              <w:rPr>
                <w:rFonts w:ascii="Arial" w:eastAsia="Times New Roman" w:hAnsi="Arial" w:cs="Arial"/>
                <w:b/>
                <w:bCs/>
                <w:sz w:val="20"/>
                <w:szCs w:val="20"/>
                <w:lang w:val="en-US" w:bidi="he-IL"/>
              </w:rPr>
            </w:pPr>
            <w:r w:rsidRPr="002C100E">
              <w:rPr>
                <w:rFonts w:ascii="Arial" w:hAnsi="Arial" w:cs="Arial"/>
                <w:b/>
                <w:bCs/>
                <w:sz w:val="20"/>
                <w:szCs w:val="20"/>
                <w:lang w:val="en-US" w:bidi="he-IL"/>
              </w:rPr>
              <w:t>RU</w:t>
            </w:r>
          </w:p>
        </w:tc>
        <w:tc>
          <w:tcPr>
            <w:tcW w:w="2162" w:type="dxa"/>
            <w:tcBorders>
              <w:top w:val="single" w:sz="4" w:space="0" w:color="auto"/>
              <w:left w:val="single" w:sz="4" w:space="0" w:color="auto"/>
              <w:bottom w:val="single" w:sz="4" w:space="0" w:color="auto"/>
              <w:right w:val="single" w:sz="4" w:space="0" w:color="auto"/>
            </w:tcBorders>
            <w:hideMark/>
          </w:tcPr>
          <w:p w:rsidR="00D177C0" w:rsidRPr="002C100E" w:rsidRDefault="00D177C0" w:rsidP="00E24DA3">
            <w:pPr>
              <w:spacing w:after="120"/>
              <w:rPr>
                <w:rFonts w:ascii="Arial" w:eastAsia="Times New Roman" w:hAnsi="Arial" w:cs="Arial"/>
                <w:b/>
                <w:bCs/>
                <w:sz w:val="20"/>
                <w:szCs w:val="20"/>
                <w:lang w:val="ru-RU" w:bidi="he-IL"/>
              </w:rPr>
            </w:pPr>
            <w:r w:rsidRPr="002C100E">
              <w:rPr>
                <w:rFonts w:ascii="Arial" w:hAnsi="Arial" w:cs="Arial"/>
                <w:b/>
                <w:bCs/>
                <w:sz w:val="20"/>
                <w:szCs w:val="20"/>
                <w:lang w:val="ru-RU" w:bidi="he-IL"/>
              </w:rPr>
              <w:t>Примечания переводчика для проверяющего</w:t>
            </w:r>
            <w:r w:rsidRPr="002C100E">
              <w:rPr>
                <w:rFonts w:ascii="Arial" w:hAnsi="Arial" w:cs="Arial"/>
                <w:b/>
                <w:bCs/>
                <w:sz w:val="20"/>
                <w:szCs w:val="20"/>
                <w:lang w:val="ru-RU" w:bidi="he-IL"/>
              </w:rPr>
              <w:br/>
              <w:t>(при необходимости)</w:t>
            </w:r>
          </w:p>
        </w:tc>
      </w:tr>
      <w:tr w:rsidR="008B2837"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sz w:val="20"/>
                <w:szCs w:val="20"/>
                <w:lang w:val="en-US"/>
              </w:rPr>
            </w:pPr>
            <w:r w:rsidRPr="002C100E">
              <w:rPr>
                <w:rFonts w:ascii="Arial" w:hAnsi="Arial" w:cs="Arial"/>
                <w:sz w:val="20"/>
                <w:szCs w:val="20"/>
                <w:highlight w:val="yellow"/>
                <w:lang w:val="en-US"/>
              </w:rPr>
              <w:t>Chemical engineering</w:t>
            </w:r>
          </w:p>
        </w:tc>
        <w:tc>
          <w:tcPr>
            <w:tcW w:w="4307"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r>
      <w:tr w:rsidR="002160F0"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2160F0" w:rsidRPr="002C100E" w:rsidRDefault="002160F0" w:rsidP="00DD0ACA">
            <w:pPr>
              <w:spacing w:after="120"/>
              <w:rPr>
                <w:rFonts w:ascii="Arial" w:hAnsi="Arial" w:cs="Arial"/>
                <w:sz w:val="20"/>
                <w:szCs w:val="20"/>
                <w:lang w:val="en-US"/>
              </w:rPr>
            </w:pPr>
            <w:r w:rsidRPr="002160F0">
              <w:rPr>
                <w:rFonts w:ascii="Arial" w:hAnsi="Arial" w:cs="Arial"/>
                <w:sz w:val="20"/>
                <w:szCs w:val="20"/>
                <w:lang w:val="en-US"/>
              </w:rPr>
              <w:t xml:space="preserve">The top of the </w:t>
            </w:r>
            <w:proofErr w:type="spellStart"/>
            <w:r w:rsidRPr="002160F0">
              <w:rPr>
                <w:rFonts w:ascii="Arial" w:hAnsi="Arial" w:cs="Arial"/>
                <w:sz w:val="20"/>
                <w:szCs w:val="20"/>
                <w:lang w:val="en-US"/>
              </w:rPr>
              <w:t>deethanizer</w:t>
            </w:r>
            <w:proofErr w:type="spellEnd"/>
            <w:r w:rsidRPr="002160F0">
              <w:rPr>
                <w:rFonts w:ascii="Arial" w:hAnsi="Arial" w:cs="Arial"/>
                <w:sz w:val="20"/>
                <w:szCs w:val="20"/>
                <w:lang w:val="en-US"/>
              </w:rPr>
              <w:t>, composed primarily of ethylene and ethane, is fed to an acetylene converter and then fractionated in the C2-splitter. In this column, lights are removed from the overheads and recycled to the compression system, while polymer-grade (PG) ethylene is drawn from the column as a side stream. Ethane, from C2-splitter bottoms, is recycled to the crack</w:t>
            </w:r>
            <w:r w:rsidR="00DD0ACA">
              <w:rPr>
                <w:rFonts w:ascii="Arial" w:hAnsi="Arial" w:cs="Arial"/>
                <w:sz w:val="20"/>
                <w:szCs w:val="20"/>
                <w:lang w:val="en-US"/>
              </w:rPr>
              <w:t>ers</w:t>
            </w:r>
            <w:r w:rsidRPr="002160F0">
              <w:rPr>
                <w:rFonts w:ascii="Arial" w:hAnsi="Arial" w:cs="Arial"/>
                <w:sz w:val="20"/>
                <w:szCs w:val="20"/>
                <w:lang w:val="en-US"/>
              </w:rPr>
              <w:t>.</w:t>
            </w:r>
          </w:p>
        </w:tc>
        <w:tc>
          <w:tcPr>
            <w:tcW w:w="4307" w:type="dxa"/>
            <w:tcBorders>
              <w:top w:val="single" w:sz="4" w:space="0" w:color="auto"/>
              <w:left w:val="single" w:sz="4" w:space="0" w:color="auto"/>
              <w:bottom w:val="single" w:sz="4" w:space="0" w:color="auto"/>
              <w:right w:val="single" w:sz="4" w:space="0" w:color="auto"/>
            </w:tcBorders>
          </w:tcPr>
          <w:p w:rsidR="002160F0" w:rsidRPr="002C100E" w:rsidRDefault="002160F0"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2160F0" w:rsidRPr="002C100E" w:rsidRDefault="002160F0" w:rsidP="00E24DA3">
            <w:pPr>
              <w:spacing w:after="120"/>
              <w:rPr>
                <w:rFonts w:ascii="Arial" w:hAnsi="Arial" w:cs="Arial"/>
                <w:b/>
                <w:bCs/>
                <w:sz w:val="20"/>
                <w:szCs w:val="20"/>
                <w:lang w:val="en-US" w:bidi="he-IL"/>
              </w:rPr>
            </w:pPr>
          </w:p>
        </w:tc>
      </w:tr>
      <w:tr w:rsidR="008B2837"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sz w:val="20"/>
                <w:szCs w:val="20"/>
              </w:rPr>
            </w:pPr>
            <w:r w:rsidRPr="002C100E">
              <w:rPr>
                <w:rFonts w:ascii="Arial" w:hAnsi="Arial" w:cs="Arial"/>
                <w:sz w:val="20"/>
                <w:szCs w:val="20"/>
                <w:lang w:val="en-US"/>
              </w:rPr>
              <w:t>Due to the rapid cooling down of the cracking furnaces coke can spalled off the cracking coils. The furnaces should be checked after furnace restart for blockages of the cracking coils. Extended decoking might be required after the furnace restart.</w:t>
            </w:r>
          </w:p>
        </w:tc>
        <w:tc>
          <w:tcPr>
            <w:tcW w:w="4307"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r>
      <w:tr w:rsidR="008B2837"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8B2837" w:rsidRPr="002C100E" w:rsidRDefault="008B2837" w:rsidP="008B2837">
            <w:pPr>
              <w:spacing w:after="120"/>
              <w:rPr>
                <w:rFonts w:ascii="Arial" w:hAnsi="Arial" w:cs="Arial"/>
                <w:sz w:val="20"/>
                <w:szCs w:val="20"/>
                <w:lang w:val="en-US"/>
              </w:rPr>
            </w:pPr>
            <w:r w:rsidRPr="002C100E">
              <w:rPr>
                <w:rFonts w:ascii="Arial" w:hAnsi="Arial" w:cs="Arial"/>
                <w:sz w:val="20"/>
                <w:szCs w:val="20"/>
                <w:lang w:val="en-US"/>
              </w:rPr>
              <w:lastRenderedPageBreak/>
              <w:t>If a cracking coil is ruptured due to the rapid cooling down, the furnace must be isolated from the oil fractionator by closing of the cracked gas MOV. The quench oil cycle with heavy pyrolysis oil and the light pyrolysis oil cycles are stopped. C3-stripper shall be stopped, stripping gas shall be closed; caustic scrubbing and spent caustic oxidation shall be stopped; hydrogen to battery limit shall be closed.</w:t>
            </w:r>
          </w:p>
        </w:tc>
        <w:tc>
          <w:tcPr>
            <w:tcW w:w="4307"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r>
      <w:tr w:rsidR="008B2837"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sz w:val="20"/>
                <w:szCs w:val="20"/>
                <w:lang w:val="en-US"/>
              </w:rPr>
            </w:pPr>
            <w:r w:rsidRPr="002C100E">
              <w:rPr>
                <w:rFonts w:ascii="Arial" w:hAnsi="Arial" w:cs="Arial"/>
                <w:sz w:val="20"/>
                <w:szCs w:val="20"/>
                <w:highlight w:val="yellow"/>
                <w:lang w:val="en-US"/>
              </w:rPr>
              <w:t>Electrical engineering</w:t>
            </w:r>
          </w:p>
        </w:tc>
        <w:tc>
          <w:tcPr>
            <w:tcW w:w="4307"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ru-RU" w:bidi="he-IL"/>
              </w:rPr>
            </w:pPr>
          </w:p>
        </w:tc>
        <w:tc>
          <w:tcPr>
            <w:tcW w:w="2162"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ru-RU" w:bidi="he-IL"/>
              </w:rPr>
            </w:pPr>
          </w:p>
        </w:tc>
      </w:tr>
      <w:tr w:rsidR="008B2837"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8B2837" w:rsidRPr="002160F0" w:rsidRDefault="008B2837" w:rsidP="008B2837">
            <w:pPr>
              <w:spacing w:after="120"/>
              <w:rPr>
                <w:rFonts w:ascii="Arial" w:hAnsi="Arial" w:cs="Arial"/>
                <w:sz w:val="20"/>
                <w:szCs w:val="20"/>
                <w:lang w:val="en-US"/>
              </w:rPr>
            </w:pPr>
            <w:r w:rsidRPr="002C100E">
              <w:rPr>
                <w:rFonts w:ascii="Arial" w:hAnsi="Arial" w:cs="Arial"/>
                <w:sz w:val="20"/>
                <w:szCs w:val="20"/>
                <w:lang w:val="en-US"/>
              </w:rPr>
              <w:t xml:space="preserve">All 10/0.42 kV transformers shall be 3-phase dry cast epoxy resin type, delta-star system with the neutral solidly earthed and complete with all necessary devices for alarm and tripping. </w:t>
            </w:r>
          </w:p>
        </w:tc>
        <w:tc>
          <w:tcPr>
            <w:tcW w:w="4307" w:type="dxa"/>
            <w:tcBorders>
              <w:top w:val="single" w:sz="4" w:space="0" w:color="auto"/>
              <w:left w:val="single" w:sz="4" w:space="0" w:color="auto"/>
              <w:bottom w:val="single" w:sz="4" w:space="0" w:color="auto"/>
              <w:right w:val="single" w:sz="4" w:space="0" w:color="auto"/>
            </w:tcBorders>
          </w:tcPr>
          <w:p w:rsidR="008B2837" w:rsidRPr="002160F0" w:rsidRDefault="008B2837"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8B2837" w:rsidRPr="002160F0" w:rsidRDefault="008B2837" w:rsidP="00E24DA3">
            <w:pPr>
              <w:spacing w:after="120"/>
              <w:rPr>
                <w:rFonts w:ascii="Arial" w:hAnsi="Arial" w:cs="Arial"/>
                <w:b/>
                <w:bCs/>
                <w:sz w:val="20"/>
                <w:szCs w:val="20"/>
                <w:lang w:val="en-US" w:bidi="he-IL"/>
              </w:rPr>
            </w:pPr>
          </w:p>
        </w:tc>
      </w:tr>
      <w:tr w:rsidR="008B2837"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8B2837" w:rsidRPr="002C100E" w:rsidRDefault="008B2837" w:rsidP="008B2837">
            <w:pPr>
              <w:spacing w:after="120"/>
              <w:rPr>
                <w:rFonts w:ascii="Arial" w:hAnsi="Arial" w:cs="Arial"/>
                <w:sz w:val="20"/>
                <w:szCs w:val="20"/>
                <w:lang w:val="en-US"/>
              </w:rPr>
            </w:pPr>
            <w:r w:rsidRPr="002C100E">
              <w:rPr>
                <w:rFonts w:ascii="Arial" w:hAnsi="Arial" w:cs="Arial"/>
                <w:sz w:val="20"/>
                <w:szCs w:val="20"/>
                <w:lang w:val="en-US"/>
              </w:rPr>
              <w:t xml:space="preserve">The reliable operation of the heater and its bundles must be continuously possible under instantaneous and steady state voltage and frequency conditions (minimum and maximum continuous levels) at heater terminals, considering also manufacturing tolerances and temperature characteristics (cold / warm resistance) of the heater elements. </w:t>
            </w:r>
          </w:p>
        </w:tc>
        <w:tc>
          <w:tcPr>
            <w:tcW w:w="4307"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8B2837" w:rsidRPr="002C100E" w:rsidRDefault="008B2837" w:rsidP="00E24DA3">
            <w:pPr>
              <w:spacing w:after="120"/>
              <w:rPr>
                <w:rFonts w:ascii="Arial" w:hAnsi="Arial" w:cs="Arial"/>
                <w:b/>
                <w:bCs/>
                <w:sz w:val="20"/>
                <w:szCs w:val="20"/>
                <w:lang w:val="en-US" w:bidi="he-IL"/>
              </w:rPr>
            </w:pPr>
          </w:p>
        </w:tc>
      </w:tr>
      <w:tr w:rsidR="002347BB"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2347BB" w:rsidRPr="002C100E" w:rsidRDefault="002347BB" w:rsidP="00E24DA3">
            <w:pPr>
              <w:spacing w:after="120"/>
              <w:rPr>
                <w:rFonts w:ascii="Arial" w:hAnsi="Arial" w:cs="Arial"/>
                <w:sz w:val="20"/>
                <w:szCs w:val="20"/>
                <w:lang w:val="en-US"/>
              </w:rPr>
            </w:pPr>
            <w:r w:rsidRPr="002C100E">
              <w:rPr>
                <w:rFonts w:ascii="Arial" w:hAnsi="Arial" w:cs="Arial"/>
                <w:sz w:val="20"/>
                <w:szCs w:val="20"/>
                <w:highlight w:val="yellow"/>
                <w:lang w:val="en-US"/>
              </w:rPr>
              <w:t>Civil engineering</w:t>
            </w:r>
          </w:p>
        </w:tc>
        <w:tc>
          <w:tcPr>
            <w:tcW w:w="4307" w:type="dxa"/>
            <w:tcBorders>
              <w:top w:val="single" w:sz="4" w:space="0" w:color="auto"/>
              <w:left w:val="single" w:sz="4" w:space="0" w:color="auto"/>
              <w:bottom w:val="single" w:sz="4" w:space="0" w:color="auto"/>
              <w:right w:val="single" w:sz="4" w:space="0" w:color="auto"/>
            </w:tcBorders>
          </w:tcPr>
          <w:p w:rsidR="002347BB" w:rsidRPr="002C100E" w:rsidRDefault="002347BB" w:rsidP="00E24DA3">
            <w:pPr>
              <w:spacing w:after="120"/>
              <w:rPr>
                <w:rFonts w:ascii="Arial" w:hAnsi="Arial" w:cs="Arial"/>
                <w:b/>
                <w:bCs/>
                <w:sz w:val="20"/>
                <w:szCs w:val="20"/>
                <w:lang w:val="ru-RU" w:bidi="he-IL"/>
              </w:rPr>
            </w:pPr>
          </w:p>
        </w:tc>
        <w:tc>
          <w:tcPr>
            <w:tcW w:w="2162" w:type="dxa"/>
            <w:tcBorders>
              <w:top w:val="single" w:sz="4" w:space="0" w:color="auto"/>
              <w:left w:val="single" w:sz="4" w:space="0" w:color="auto"/>
              <w:bottom w:val="single" w:sz="4" w:space="0" w:color="auto"/>
              <w:right w:val="single" w:sz="4" w:space="0" w:color="auto"/>
            </w:tcBorders>
          </w:tcPr>
          <w:p w:rsidR="002347BB" w:rsidRPr="002C100E" w:rsidRDefault="002347BB" w:rsidP="00E24DA3">
            <w:pPr>
              <w:spacing w:after="120"/>
              <w:rPr>
                <w:rFonts w:ascii="Arial" w:hAnsi="Arial" w:cs="Arial"/>
                <w:b/>
                <w:bCs/>
                <w:sz w:val="20"/>
                <w:szCs w:val="20"/>
                <w:lang w:val="ru-RU" w:bidi="he-IL"/>
              </w:rPr>
            </w:pPr>
          </w:p>
        </w:tc>
      </w:tr>
      <w:tr w:rsidR="00D177C0"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D177C0" w:rsidRPr="002160F0" w:rsidRDefault="00D177C0" w:rsidP="008B2837">
            <w:pPr>
              <w:spacing w:after="120"/>
              <w:rPr>
                <w:rFonts w:ascii="Arial" w:hAnsi="Arial" w:cs="Arial"/>
                <w:sz w:val="20"/>
                <w:szCs w:val="20"/>
                <w:lang w:val="en-US"/>
              </w:rPr>
            </w:pPr>
            <w:r w:rsidRPr="002C100E">
              <w:rPr>
                <w:rFonts w:ascii="Arial" w:hAnsi="Arial" w:cs="Arial"/>
                <w:sz w:val="20"/>
                <w:szCs w:val="20"/>
                <w:lang w:val="en-US"/>
              </w:rPr>
              <w:t xml:space="preserve">All steel structures shall be shop welded &amp; field bolted (unless otherwise noted on the construction </w:t>
            </w:r>
            <w:proofErr w:type="spellStart"/>
            <w:r w:rsidRPr="002C100E">
              <w:rPr>
                <w:rFonts w:ascii="Arial" w:hAnsi="Arial" w:cs="Arial"/>
                <w:sz w:val="20"/>
                <w:szCs w:val="20"/>
                <w:lang w:val="en-US"/>
              </w:rPr>
              <w:t>drg</w:t>
            </w:r>
            <w:proofErr w:type="spellEnd"/>
            <w:r w:rsidRPr="002C100E">
              <w:rPr>
                <w:rFonts w:ascii="Arial" w:hAnsi="Arial" w:cs="Arial"/>
                <w:sz w:val="20"/>
                <w:szCs w:val="20"/>
                <w:lang w:val="en-US"/>
              </w:rPr>
              <w:t xml:space="preserve">). All auxiliary structures shall be impact tested at </w:t>
            </w:r>
            <w:r w:rsidRPr="002160F0">
              <w:rPr>
                <w:rFonts w:ascii="Arial" w:hAnsi="Arial" w:cs="Arial"/>
                <w:sz w:val="20"/>
                <w:szCs w:val="20"/>
                <w:lang w:val="en-US"/>
              </w:rPr>
              <w:t>-36°</w:t>
            </w:r>
            <w:r w:rsidRPr="002C100E">
              <w:rPr>
                <w:rFonts w:ascii="Arial" w:hAnsi="Arial" w:cs="Arial"/>
                <w:sz w:val="20"/>
                <w:szCs w:val="20"/>
                <w:lang w:val="en-US"/>
              </w:rPr>
              <w:t>C</w:t>
            </w:r>
            <w:r w:rsidRPr="002160F0">
              <w:rPr>
                <w:rFonts w:ascii="Arial" w:hAnsi="Arial" w:cs="Arial"/>
                <w:sz w:val="20"/>
                <w:szCs w:val="20"/>
                <w:lang w:val="en-US"/>
              </w:rPr>
              <w:t xml:space="preserve">. </w:t>
            </w:r>
            <w:r w:rsidR="008B2837" w:rsidRPr="002C100E">
              <w:rPr>
                <w:rFonts w:ascii="Arial" w:hAnsi="Arial" w:cs="Arial"/>
                <w:sz w:val="20"/>
                <w:szCs w:val="20"/>
                <w:lang w:val="en-US"/>
              </w:rPr>
              <w:t>For</w:t>
            </w:r>
            <w:r w:rsidRPr="002C100E">
              <w:rPr>
                <w:rFonts w:ascii="Arial" w:hAnsi="Arial" w:cs="Arial"/>
                <w:sz w:val="20"/>
                <w:szCs w:val="20"/>
                <w:lang w:val="en-US"/>
              </w:rPr>
              <w:t xml:space="preserve"> moment connections </w:t>
            </w:r>
            <w:r w:rsidR="008B2837" w:rsidRPr="002C100E">
              <w:rPr>
                <w:rFonts w:ascii="Arial" w:hAnsi="Arial" w:cs="Arial"/>
                <w:sz w:val="20"/>
                <w:szCs w:val="20"/>
                <w:lang w:val="en-US"/>
              </w:rPr>
              <w:t xml:space="preserve">use </w:t>
            </w:r>
            <w:r w:rsidRPr="002C100E">
              <w:rPr>
                <w:rFonts w:ascii="Arial" w:hAnsi="Arial" w:cs="Arial"/>
                <w:sz w:val="20"/>
                <w:szCs w:val="20"/>
                <w:lang w:val="en-US"/>
              </w:rPr>
              <w:t>high strength bolts</w:t>
            </w:r>
            <w:r w:rsidR="008B2837" w:rsidRPr="002C100E">
              <w:rPr>
                <w:rFonts w:ascii="Arial" w:hAnsi="Arial" w:cs="Arial"/>
                <w:sz w:val="20"/>
                <w:szCs w:val="20"/>
                <w:lang w:val="en-US"/>
              </w:rPr>
              <w:t>;</w:t>
            </w:r>
            <w:r w:rsidRPr="002160F0">
              <w:rPr>
                <w:rFonts w:ascii="Arial" w:hAnsi="Arial" w:cs="Arial"/>
                <w:sz w:val="20"/>
                <w:szCs w:val="20"/>
                <w:lang w:val="en-US"/>
              </w:rPr>
              <w:t xml:space="preserve"> </w:t>
            </w:r>
            <w:r w:rsidR="008B2837" w:rsidRPr="002C100E">
              <w:rPr>
                <w:rFonts w:ascii="Arial" w:hAnsi="Arial" w:cs="Arial"/>
                <w:sz w:val="20"/>
                <w:szCs w:val="20"/>
                <w:lang w:val="en-US"/>
              </w:rPr>
              <w:t>f</w:t>
            </w:r>
            <w:r w:rsidRPr="002C100E">
              <w:rPr>
                <w:rFonts w:ascii="Arial" w:hAnsi="Arial" w:cs="Arial"/>
                <w:sz w:val="20"/>
                <w:szCs w:val="20"/>
                <w:lang w:val="en-US"/>
              </w:rPr>
              <w:t>or shear connections</w:t>
            </w:r>
            <w:r w:rsidRPr="002160F0">
              <w:rPr>
                <w:rFonts w:ascii="Arial" w:hAnsi="Arial" w:cs="Arial"/>
                <w:sz w:val="20"/>
                <w:szCs w:val="20"/>
                <w:lang w:val="en-US"/>
              </w:rPr>
              <w:t xml:space="preserve">, </w:t>
            </w:r>
            <w:r w:rsidRPr="002C100E">
              <w:rPr>
                <w:rFonts w:ascii="Arial" w:hAnsi="Arial" w:cs="Arial"/>
                <w:sz w:val="20"/>
                <w:szCs w:val="20"/>
                <w:lang w:val="en-US"/>
              </w:rPr>
              <w:t xml:space="preserve">use bolts class </w:t>
            </w:r>
            <w:r w:rsidRPr="002160F0">
              <w:rPr>
                <w:rFonts w:ascii="Arial" w:hAnsi="Arial" w:cs="Arial"/>
                <w:sz w:val="20"/>
                <w:szCs w:val="20"/>
                <w:lang w:val="en-US"/>
              </w:rPr>
              <w:t xml:space="preserve">8.8; </w:t>
            </w:r>
            <w:r w:rsidRPr="002C100E">
              <w:rPr>
                <w:rFonts w:ascii="Arial" w:hAnsi="Arial" w:cs="Arial"/>
                <w:sz w:val="20"/>
                <w:szCs w:val="20"/>
                <w:lang w:val="en-US"/>
              </w:rPr>
              <w:t>for handrails</w:t>
            </w:r>
            <w:r w:rsidRPr="002160F0">
              <w:rPr>
                <w:rFonts w:ascii="Arial" w:hAnsi="Arial" w:cs="Arial"/>
                <w:sz w:val="20"/>
                <w:szCs w:val="20"/>
                <w:lang w:val="en-US"/>
              </w:rPr>
              <w:t xml:space="preserve">, </w:t>
            </w:r>
            <w:r w:rsidRPr="002C100E">
              <w:rPr>
                <w:rFonts w:ascii="Arial" w:hAnsi="Arial" w:cs="Arial"/>
                <w:sz w:val="20"/>
                <w:szCs w:val="20"/>
                <w:lang w:val="en-US"/>
              </w:rPr>
              <w:t>grits</w:t>
            </w:r>
            <w:r w:rsidRPr="002160F0">
              <w:rPr>
                <w:rFonts w:ascii="Arial" w:hAnsi="Arial" w:cs="Arial"/>
                <w:sz w:val="20"/>
                <w:szCs w:val="20"/>
                <w:lang w:val="en-US"/>
              </w:rPr>
              <w:t xml:space="preserve">, </w:t>
            </w:r>
            <w:r w:rsidRPr="002C100E">
              <w:rPr>
                <w:rFonts w:ascii="Arial" w:hAnsi="Arial" w:cs="Arial"/>
                <w:sz w:val="20"/>
                <w:szCs w:val="20"/>
                <w:lang w:val="en-US"/>
              </w:rPr>
              <w:t>toe plates</w:t>
            </w:r>
            <w:r w:rsidRPr="002160F0">
              <w:rPr>
                <w:rFonts w:ascii="Arial" w:hAnsi="Arial" w:cs="Arial"/>
                <w:sz w:val="20"/>
                <w:szCs w:val="20"/>
                <w:lang w:val="en-US"/>
              </w:rPr>
              <w:t xml:space="preserve">, </w:t>
            </w:r>
            <w:r w:rsidRPr="002C100E">
              <w:rPr>
                <w:rFonts w:ascii="Arial" w:hAnsi="Arial" w:cs="Arial"/>
                <w:sz w:val="20"/>
                <w:szCs w:val="20"/>
                <w:lang w:val="en-US"/>
              </w:rPr>
              <w:t>purlins use common bolts</w:t>
            </w:r>
            <w:r w:rsidRPr="002160F0">
              <w:rPr>
                <w:rFonts w:ascii="Arial" w:hAnsi="Arial" w:cs="Arial"/>
                <w:sz w:val="20"/>
                <w:szCs w:val="20"/>
                <w:lang w:val="en-US"/>
              </w:rPr>
              <w:t xml:space="preserve">. </w:t>
            </w:r>
          </w:p>
        </w:tc>
        <w:tc>
          <w:tcPr>
            <w:tcW w:w="4307" w:type="dxa"/>
            <w:tcBorders>
              <w:top w:val="single" w:sz="4" w:space="0" w:color="auto"/>
              <w:left w:val="single" w:sz="4" w:space="0" w:color="auto"/>
              <w:bottom w:val="single" w:sz="4" w:space="0" w:color="auto"/>
              <w:right w:val="single" w:sz="4" w:space="0" w:color="auto"/>
            </w:tcBorders>
          </w:tcPr>
          <w:p w:rsidR="00D177C0" w:rsidRPr="002160F0" w:rsidRDefault="00D177C0"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D177C0" w:rsidRPr="002160F0" w:rsidRDefault="00D177C0" w:rsidP="00E24DA3">
            <w:pPr>
              <w:spacing w:after="120"/>
              <w:rPr>
                <w:rFonts w:ascii="Arial" w:hAnsi="Arial" w:cs="Arial"/>
                <w:b/>
                <w:bCs/>
                <w:sz w:val="20"/>
                <w:szCs w:val="20"/>
                <w:lang w:val="en-US" w:bidi="he-IL"/>
              </w:rPr>
            </w:pPr>
          </w:p>
        </w:tc>
      </w:tr>
      <w:tr w:rsidR="00D177C0"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D177C0" w:rsidRPr="002C100E" w:rsidRDefault="00D177C0" w:rsidP="008B2837">
            <w:pPr>
              <w:spacing w:after="120"/>
              <w:rPr>
                <w:rFonts w:ascii="Arial" w:hAnsi="Arial" w:cs="Arial"/>
                <w:sz w:val="20"/>
                <w:szCs w:val="20"/>
                <w:lang w:val="en-US"/>
              </w:rPr>
            </w:pPr>
            <w:r w:rsidRPr="002C100E">
              <w:rPr>
                <w:rFonts w:ascii="Arial" w:hAnsi="Arial" w:cs="Arial"/>
                <w:sz w:val="20"/>
                <w:szCs w:val="20"/>
                <w:lang w:val="en-US"/>
              </w:rPr>
              <w:t xml:space="preserve">All elevations are with reference to plant </w:t>
            </w:r>
            <w:proofErr w:type="spellStart"/>
            <w:r w:rsidRPr="002C100E">
              <w:rPr>
                <w:rFonts w:ascii="Arial" w:hAnsi="Arial" w:cs="Arial"/>
                <w:sz w:val="20"/>
                <w:szCs w:val="20"/>
                <w:lang w:val="en-US"/>
              </w:rPr>
              <w:t>H.P.P</w:t>
            </w:r>
            <w:proofErr w:type="spellEnd"/>
            <w:r w:rsidRPr="002C100E">
              <w:rPr>
                <w:rFonts w:ascii="Arial" w:hAnsi="Arial" w:cs="Arial"/>
                <w:sz w:val="20"/>
                <w:szCs w:val="20"/>
                <w:lang w:val="en-US"/>
              </w:rPr>
              <w:t xml:space="preserve"> of +12000 mm.</w:t>
            </w:r>
            <w:r w:rsidR="00E80243" w:rsidRPr="002C100E">
              <w:rPr>
                <w:rFonts w:ascii="Arial" w:hAnsi="Arial" w:cs="Arial"/>
                <w:sz w:val="20"/>
                <w:szCs w:val="20"/>
                <w:lang w:val="en-US"/>
              </w:rPr>
              <w:t xml:space="preserve"> Dissimilar welds are not permitted. Excessive weld metal shall be ground flush</w:t>
            </w:r>
            <w:r w:rsidR="00E80243" w:rsidRPr="002160F0">
              <w:rPr>
                <w:rFonts w:ascii="Arial" w:hAnsi="Arial" w:cs="Arial"/>
                <w:sz w:val="20"/>
                <w:szCs w:val="20"/>
                <w:lang w:val="en-US"/>
              </w:rPr>
              <w:t xml:space="preserve">; </w:t>
            </w:r>
            <w:r w:rsidR="00E80243" w:rsidRPr="002C100E">
              <w:rPr>
                <w:rFonts w:ascii="Arial" w:hAnsi="Arial" w:cs="Arial"/>
                <w:sz w:val="20"/>
                <w:szCs w:val="20"/>
                <w:lang w:val="en-US"/>
              </w:rPr>
              <w:t>these locations shall be subject to MT</w:t>
            </w:r>
            <w:r w:rsidR="00E80243" w:rsidRPr="002160F0">
              <w:rPr>
                <w:rFonts w:ascii="Arial" w:hAnsi="Arial" w:cs="Arial"/>
                <w:sz w:val="20"/>
                <w:szCs w:val="20"/>
                <w:lang w:val="en-US"/>
              </w:rPr>
              <w:t xml:space="preserve">, </w:t>
            </w:r>
            <w:r w:rsidR="00E80243" w:rsidRPr="002C100E">
              <w:rPr>
                <w:rFonts w:ascii="Arial" w:hAnsi="Arial" w:cs="Arial"/>
                <w:sz w:val="20"/>
                <w:szCs w:val="20"/>
                <w:lang w:val="en-US"/>
              </w:rPr>
              <w:t>PT or RT</w:t>
            </w:r>
            <w:r w:rsidR="00E80243" w:rsidRPr="002160F0">
              <w:rPr>
                <w:rFonts w:ascii="Arial" w:hAnsi="Arial" w:cs="Arial"/>
                <w:sz w:val="20"/>
                <w:szCs w:val="20"/>
                <w:lang w:val="en-US"/>
              </w:rPr>
              <w:t xml:space="preserve">. </w:t>
            </w:r>
          </w:p>
        </w:tc>
        <w:tc>
          <w:tcPr>
            <w:tcW w:w="4307" w:type="dxa"/>
            <w:tcBorders>
              <w:top w:val="single" w:sz="4" w:space="0" w:color="auto"/>
              <w:left w:val="single" w:sz="4" w:space="0" w:color="auto"/>
              <w:bottom w:val="single" w:sz="4" w:space="0" w:color="auto"/>
              <w:right w:val="single" w:sz="4" w:space="0" w:color="auto"/>
            </w:tcBorders>
          </w:tcPr>
          <w:p w:rsidR="00D177C0" w:rsidRPr="002C100E" w:rsidRDefault="00D177C0"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D177C0" w:rsidRPr="002C100E" w:rsidRDefault="00D177C0" w:rsidP="00E24DA3">
            <w:pPr>
              <w:spacing w:after="120"/>
              <w:rPr>
                <w:rFonts w:ascii="Arial" w:hAnsi="Arial" w:cs="Arial"/>
                <w:b/>
                <w:bCs/>
                <w:sz w:val="20"/>
                <w:szCs w:val="20"/>
                <w:lang w:val="en-US" w:bidi="he-IL"/>
              </w:rPr>
            </w:pPr>
          </w:p>
        </w:tc>
      </w:tr>
      <w:tr w:rsidR="00E80243"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E80243" w:rsidRPr="002C100E" w:rsidRDefault="001C73F2" w:rsidP="00E24DA3">
            <w:pPr>
              <w:spacing w:after="120"/>
              <w:rPr>
                <w:rFonts w:ascii="Arial" w:hAnsi="Arial" w:cs="Arial"/>
                <w:sz w:val="20"/>
                <w:szCs w:val="20"/>
                <w:lang w:val="en-US"/>
              </w:rPr>
            </w:pPr>
            <w:r w:rsidRPr="002C100E">
              <w:rPr>
                <w:rFonts w:ascii="Arial" w:hAnsi="Arial" w:cs="Arial"/>
                <w:sz w:val="20"/>
                <w:szCs w:val="20"/>
                <w:highlight w:val="yellow"/>
                <w:lang w:val="en-US"/>
              </w:rPr>
              <w:t>Instrumentation</w:t>
            </w:r>
          </w:p>
        </w:tc>
        <w:tc>
          <w:tcPr>
            <w:tcW w:w="4307" w:type="dxa"/>
            <w:tcBorders>
              <w:top w:val="single" w:sz="4" w:space="0" w:color="auto"/>
              <w:left w:val="single" w:sz="4" w:space="0" w:color="auto"/>
              <w:bottom w:val="single" w:sz="4" w:space="0" w:color="auto"/>
              <w:right w:val="single" w:sz="4" w:space="0" w:color="auto"/>
            </w:tcBorders>
          </w:tcPr>
          <w:p w:rsidR="00E80243" w:rsidRPr="002C100E" w:rsidRDefault="00E80243"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E80243" w:rsidRPr="002C100E" w:rsidRDefault="00E80243" w:rsidP="00E24DA3">
            <w:pPr>
              <w:spacing w:after="120"/>
              <w:rPr>
                <w:rFonts w:ascii="Arial" w:hAnsi="Arial" w:cs="Arial"/>
                <w:b/>
                <w:bCs/>
                <w:sz w:val="20"/>
                <w:szCs w:val="20"/>
                <w:lang w:val="en-US" w:bidi="he-IL"/>
              </w:rPr>
            </w:pPr>
          </w:p>
        </w:tc>
      </w:tr>
      <w:tr w:rsidR="00E80243"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E80243" w:rsidRPr="002C100E" w:rsidRDefault="008B2837" w:rsidP="002C100E">
            <w:pPr>
              <w:spacing w:after="120"/>
              <w:rPr>
                <w:rFonts w:ascii="Arial" w:hAnsi="Arial" w:cs="Arial"/>
                <w:sz w:val="20"/>
                <w:szCs w:val="20"/>
                <w:lang w:val="en-US"/>
              </w:rPr>
            </w:pPr>
            <w:r w:rsidRPr="002C100E">
              <w:rPr>
                <w:rFonts w:ascii="Arial" w:hAnsi="Arial" w:cs="Arial"/>
                <w:color w:val="000000" w:themeColor="text1"/>
                <w:sz w:val="20"/>
                <w:szCs w:val="20"/>
                <w:lang w:val="en-US"/>
              </w:rPr>
              <w:t xml:space="preserve">Main cable/tray routing for instrument cable is defined as a way from instrument room to field </w:t>
            </w:r>
            <w:proofErr w:type="spellStart"/>
            <w:r w:rsidRPr="002C100E">
              <w:rPr>
                <w:rFonts w:ascii="Arial" w:hAnsi="Arial" w:cs="Arial"/>
                <w:color w:val="000000" w:themeColor="text1"/>
                <w:sz w:val="20"/>
                <w:szCs w:val="20"/>
                <w:lang w:val="en-US"/>
              </w:rPr>
              <w:t>JB</w:t>
            </w:r>
            <w:proofErr w:type="spellEnd"/>
            <w:r w:rsidRPr="002C100E">
              <w:rPr>
                <w:rFonts w:ascii="Arial" w:hAnsi="Arial" w:cs="Arial"/>
                <w:color w:val="000000" w:themeColor="text1"/>
                <w:sz w:val="20"/>
                <w:szCs w:val="20"/>
                <w:lang w:val="en-US"/>
              </w:rPr>
              <w:t xml:space="preserve"> / local panel / direct run instrument. All instrumentation equipment shall be suitable to the Zone 1, Gas group </w:t>
            </w:r>
            <w:proofErr w:type="spellStart"/>
            <w:r w:rsidRPr="002C100E">
              <w:rPr>
                <w:rFonts w:ascii="Arial" w:hAnsi="Arial" w:cs="Arial"/>
                <w:color w:val="000000" w:themeColor="text1"/>
                <w:sz w:val="20"/>
                <w:szCs w:val="20"/>
                <w:lang w:val="en-US"/>
              </w:rPr>
              <w:t>IIC</w:t>
            </w:r>
            <w:proofErr w:type="spellEnd"/>
            <w:r w:rsidRPr="002C100E">
              <w:rPr>
                <w:rFonts w:ascii="Arial" w:hAnsi="Arial" w:cs="Arial"/>
                <w:color w:val="000000" w:themeColor="text1"/>
                <w:sz w:val="20"/>
                <w:szCs w:val="20"/>
                <w:lang w:val="en-US"/>
              </w:rPr>
              <w:t>.</w:t>
            </w:r>
            <w:r w:rsidR="002C100E" w:rsidRPr="002C100E">
              <w:rPr>
                <w:rFonts w:ascii="Arial" w:hAnsi="Arial" w:cs="Arial"/>
                <w:color w:val="000000" w:themeColor="text1"/>
                <w:sz w:val="20"/>
                <w:szCs w:val="20"/>
                <w:lang w:val="en-US"/>
              </w:rPr>
              <w:t xml:space="preserve"> NIS and IS cables shall be routed separately acc. </w:t>
            </w:r>
            <w:proofErr w:type="spellStart"/>
            <w:r w:rsidR="002C100E" w:rsidRPr="002C100E">
              <w:rPr>
                <w:rFonts w:ascii="Arial" w:hAnsi="Arial" w:cs="Arial"/>
                <w:color w:val="000000" w:themeColor="text1"/>
                <w:sz w:val="20"/>
                <w:szCs w:val="20"/>
                <w:lang w:val="en-US"/>
              </w:rPr>
              <w:t>P&amp;ID</w:t>
            </w:r>
            <w:proofErr w:type="spellEnd"/>
            <w:r w:rsidR="002C100E" w:rsidRPr="002C100E">
              <w:rPr>
                <w:rFonts w:ascii="Arial" w:hAnsi="Arial" w:cs="Arial"/>
                <w:color w:val="000000" w:themeColor="text1"/>
                <w:sz w:val="20"/>
                <w:szCs w:val="20"/>
                <w:lang w:val="en-US"/>
              </w:rPr>
              <w:t>. Spare cable entries to be plugged off with blind plugs Exe, IP65 minimum.</w:t>
            </w:r>
          </w:p>
        </w:tc>
        <w:tc>
          <w:tcPr>
            <w:tcW w:w="4307" w:type="dxa"/>
            <w:tcBorders>
              <w:top w:val="single" w:sz="4" w:space="0" w:color="auto"/>
              <w:left w:val="single" w:sz="4" w:space="0" w:color="auto"/>
              <w:bottom w:val="single" w:sz="4" w:space="0" w:color="auto"/>
              <w:right w:val="single" w:sz="4" w:space="0" w:color="auto"/>
            </w:tcBorders>
          </w:tcPr>
          <w:p w:rsidR="00E80243" w:rsidRPr="002C100E" w:rsidRDefault="00E80243"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E80243" w:rsidRPr="002C100E" w:rsidRDefault="00E80243" w:rsidP="00E24DA3">
            <w:pPr>
              <w:spacing w:after="120"/>
              <w:rPr>
                <w:rFonts w:ascii="Arial" w:hAnsi="Arial" w:cs="Arial"/>
                <w:b/>
                <w:bCs/>
                <w:sz w:val="20"/>
                <w:szCs w:val="20"/>
                <w:lang w:val="en-US" w:bidi="he-IL"/>
              </w:rPr>
            </w:pPr>
          </w:p>
        </w:tc>
      </w:tr>
      <w:tr w:rsidR="0019394F" w:rsidRPr="002C100E" w:rsidTr="008B2837">
        <w:trPr>
          <w:cantSplit/>
        </w:trPr>
        <w:tc>
          <w:tcPr>
            <w:tcW w:w="4306" w:type="dxa"/>
            <w:tcBorders>
              <w:top w:val="single" w:sz="4" w:space="0" w:color="auto"/>
              <w:left w:val="single" w:sz="4" w:space="0" w:color="auto"/>
              <w:bottom w:val="single" w:sz="4" w:space="0" w:color="auto"/>
              <w:right w:val="single" w:sz="4" w:space="0" w:color="auto"/>
            </w:tcBorders>
          </w:tcPr>
          <w:p w:rsidR="0019394F" w:rsidRPr="002C100E" w:rsidRDefault="0019394F" w:rsidP="0019394F">
            <w:pPr>
              <w:spacing w:after="120"/>
              <w:rPr>
                <w:rFonts w:ascii="Arial" w:hAnsi="Arial" w:cs="Arial"/>
                <w:color w:val="000000" w:themeColor="text1"/>
                <w:sz w:val="20"/>
                <w:szCs w:val="20"/>
                <w:lang w:val="en-US"/>
              </w:rPr>
            </w:pPr>
            <w:r w:rsidRPr="0019394F">
              <w:rPr>
                <w:rFonts w:ascii="Arial" w:hAnsi="Arial" w:cs="Arial"/>
                <w:color w:val="000000" w:themeColor="text1"/>
                <w:sz w:val="20"/>
                <w:szCs w:val="20"/>
                <w:lang w:val="en-US"/>
              </w:rPr>
              <w:t xml:space="preserve">Electrical SMART transmitters with remote re-ranging capability for improved maintenance shall be used for all transmitters connected to the </w:t>
            </w:r>
            <w:proofErr w:type="spellStart"/>
            <w:r w:rsidRPr="0019394F">
              <w:rPr>
                <w:rFonts w:ascii="Arial" w:hAnsi="Arial" w:cs="Arial"/>
                <w:color w:val="000000" w:themeColor="text1"/>
                <w:sz w:val="20"/>
                <w:szCs w:val="20"/>
                <w:lang w:val="en-US"/>
              </w:rPr>
              <w:t>DCS</w:t>
            </w:r>
            <w:proofErr w:type="spellEnd"/>
            <w:r w:rsidRPr="0019394F">
              <w:rPr>
                <w:rFonts w:ascii="Arial" w:hAnsi="Arial" w:cs="Arial"/>
                <w:color w:val="000000" w:themeColor="text1"/>
                <w:sz w:val="20"/>
                <w:szCs w:val="20"/>
                <w:lang w:val="en-US"/>
              </w:rPr>
              <w:t>/HART protocol type transmitters.</w:t>
            </w:r>
            <w:r>
              <w:rPr>
                <w:rFonts w:ascii="Arial" w:hAnsi="Arial" w:cs="Arial"/>
                <w:color w:val="000000" w:themeColor="text1"/>
                <w:sz w:val="20"/>
                <w:szCs w:val="20"/>
                <w:lang w:val="en-US"/>
              </w:rPr>
              <w:t xml:space="preserve"> </w:t>
            </w:r>
            <w:r w:rsidRPr="0019394F">
              <w:rPr>
                <w:rFonts w:ascii="Arial" w:hAnsi="Arial" w:cs="Arial"/>
                <w:color w:val="000000" w:themeColor="text1"/>
                <w:sz w:val="20"/>
                <w:szCs w:val="20"/>
                <w:lang w:val="en-US"/>
              </w:rPr>
              <w:t>Generally, cases shall be solid front for differential pressure gauges when static pressure is equal and above 6Mpag.</w:t>
            </w:r>
          </w:p>
        </w:tc>
        <w:tc>
          <w:tcPr>
            <w:tcW w:w="4307" w:type="dxa"/>
            <w:tcBorders>
              <w:top w:val="single" w:sz="4" w:space="0" w:color="auto"/>
              <w:left w:val="single" w:sz="4" w:space="0" w:color="auto"/>
              <w:bottom w:val="single" w:sz="4" w:space="0" w:color="auto"/>
              <w:right w:val="single" w:sz="4" w:space="0" w:color="auto"/>
            </w:tcBorders>
          </w:tcPr>
          <w:p w:rsidR="0019394F" w:rsidRPr="002C100E" w:rsidRDefault="0019394F" w:rsidP="00E24DA3">
            <w:pPr>
              <w:spacing w:after="120"/>
              <w:rPr>
                <w:rFonts w:ascii="Arial" w:hAnsi="Arial" w:cs="Arial"/>
                <w:b/>
                <w:bCs/>
                <w:sz w:val="20"/>
                <w:szCs w:val="20"/>
                <w:lang w:val="en-US" w:bidi="he-IL"/>
              </w:rPr>
            </w:pPr>
          </w:p>
        </w:tc>
        <w:tc>
          <w:tcPr>
            <w:tcW w:w="2162" w:type="dxa"/>
            <w:tcBorders>
              <w:top w:val="single" w:sz="4" w:space="0" w:color="auto"/>
              <w:left w:val="single" w:sz="4" w:space="0" w:color="auto"/>
              <w:bottom w:val="single" w:sz="4" w:space="0" w:color="auto"/>
              <w:right w:val="single" w:sz="4" w:space="0" w:color="auto"/>
            </w:tcBorders>
          </w:tcPr>
          <w:p w:rsidR="0019394F" w:rsidRPr="002C100E" w:rsidRDefault="0019394F" w:rsidP="00E24DA3">
            <w:pPr>
              <w:spacing w:after="120"/>
              <w:rPr>
                <w:rFonts w:ascii="Arial" w:hAnsi="Arial" w:cs="Arial"/>
                <w:b/>
                <w:bCs/>
                <w:sz w:val="20"/>
                <w:szCs w:val="20"/>
                <w:lang w:val="en-US" w:bidi="he-IL"/>
              </w:rPr>
            </w:pPr>
          </w:p>
        </w:tc>
      </w:tr>
    </w:tbl>
    <w:p w:rsidR="00B36D78" w:rsidRPr="002C100E" w:rsidRDefault="00B36D78">
      <w:pPr>
        <w:rPr>
          <w:rFonts w:ascii="Arial" w:hAnsi="Arial" w:cs="Arial"/>
          <w:sz w:val="20"/>
          <w:szCs w:val="20"/>
          <w:u w:val="single"/>
          <w:lang w:val="en-US"/>
        </w:rPr>
      </w:pPr>
    </w:p>
    <w:sectPr w:rsidR="00B36D78" w:rsidRPr="002C100E" w:rsidSect="00D177C0">
      <w:pgSz w:w="11906" w:h="16838"/>
      <w:pgMar w:top="1134"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A86"/>
    <w:rsid w:val="00046564"/>
    <w:rsid w:val="0019394F"/>
    <w:rsid w:val="001A0A95"/>
    <w:rsid w:val="001A502B"/>
    <w:rsid w:val="001C73F2"/>
    <w:rsid w:val="002160F0"/>
    <w:rsid w:val="00224D6F"/>
    <w:rsid w:val="002347BB"/>
    <w:rsid w:val="002904A0"/>
    <w:rsid w:val="002C100E"/>
    <w:rsid w:val="003F09BF"/>
    <w:rsid w:val="004008BB"/>
    <w:rsid w:val="00404869"/>
    <w:rsid w:val="00571F70"/>
    <w:rsid w:val="006056BE"/>
    <w:rsid w:val="00636070"/>
    <w:rsid w:val="0068743E"/>
    <w:rsid w:val="0069553A"/>
    <w:rsid w:val="0077413E"/>
    <w:rsid w:val="007B123A"/>
    <w:rsid w:val="007D57C2"/>
    <w:rsid w:val="008438B6"/>
    <w:rsid w:val="008A19BD"/>
    <w:rsid w:val="008B2837"/>
    <w:rsid w:val="00957191"/>
    <w:rsid w:val="00A01FBC"/>
    <w:rsid w:val="00A0661F"/>
    <w:rsid w:val="00B13388"/>
    <w:rsid w:val="00B164EB"/>
    <w:rsid w:val="00B36D78"/>
    <w:rsid w:val="00B72525"/>
    <w:rsid w:val="00BE77DB"/>
    <w:rsid w:val="00C63731"/>
    <w:rsid w:val="00C65A86"/>
    <w:rsid w:val="00CC7A84"/>
    <w:rsid w:val="00D177C0"/>
    <w:rsid w:val="00DB06AF"/>
    <w:rsid w:val="00DD0ACA"/>
    <w:rsid w:val="00E44A6F"/>
    <w:rsid w:val="00E80243"/>
    <w:rsid w:val="00F610CB"/>
    <w:rsid w:val="00F91C66"/>
    <w:rsid w:val="00FF2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A86"/>
    <w:rPr>
      <w:rFonts w:asciiTheme="minorHAnsi" w:hAnsiTheme="minorHAns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A86"/>
    <w:rPr>
      <w:rFonts w:asciiTheme="minorHAnsi" w:hAnsiTheme="minorHAnsi"/>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2</Pages>
  <Words>586</Words>
  <Characters>3343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2018-11-02T13:07:00Z</dcterms:created>
  <dcterms:modified xsi:type="dcterms:W3CDTF">2018-11-08T17:38:00Z</dcterms:modified>
</cp:coreProperties>
</file>